
<file path=[Content_Types].xml><?xml version="1.0" encoding="utf-8"?>
<Types xmlns="http://schemas.openxmlformats.org/package/2006/content-types">
  <Default Extension="xlsx" ContentType="application/vnd.openxmlformats-officedocument.spreadsheetml.sheet"/>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charts/colors1.xml" ContentType="application/vnd.ms-office.chartcolorstyle+xml"/>
  <Override PartName="/word/fontTable.xml" ContentType="application/vnd.openxmlformats-officedocument.wordprocessingml.fontTable+xml"/>
  <Override PartName="/docProps/core.xml" ContentType="application/vnd.openxmlformats-package.core-properties+xml"/>
  <Override PartName="/word/charts/chart1.xml" ContentType="application/vnd.openxmlformats-officedocument.drawingml.chart+xml"/>
  <Override PartName="/word/header1.xml" ContentType="application/vnd.openxmlformats-officedocument.wordprocessingml.header+xml"/>
  <Override PartName="/word/numbering.xml" ContentType="application/vnd.openxmlformats-officedocument.wordprocessingml.numbering+xml"/>
  <Override PartName="/word/charts/style2.xml" ContentType="application/vnd.ms-office.chartstyle+xml"/>
  <Override PartName="/word/settings.xml" ContentType="application/vnd.openxmlformats-officedocument.wordprocessingml.settings+xml"/>
  <Override PartName="/docProps/custom.xml" ContentType="application/vnd.openxmlformats-officedocument.custom-properties+xml"/>
  <Override PartName="/word/charts/colors2.xml" ContentType="application/vnd.ms-office.chartcolorstyle+xml"/>
  <Override PartName="/word/document.xml" ContentType="application/vnd.openxmlformats-officedocument.wordprocessingml.document.main+xml"/>
  <Override PartName="/word/charts/chart2.xml" ContentType="application/vnd.openxmlformats-officedocument.drawingml.chart+xml"/>
  <Override PartName="/word/charts/style1.xml" ContentType="application/vnd.ms-office.chartsty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contextualSpacing/>
        <w:rPr>
          <w:rFonts w:ascii="Times New Roman" w:cs="Times New Roman" w:hAnsi="Times New Roman"/>
          <w:sz w:val="24"/>
          <w:szCs w:val="24"/>
        </w:rPr>
      </w:pPr>
    </w:p>
    <w:p>
      <w:pPr>
        <w:pStyle w:val="style0"/>
        <w:spacing w:lineRule="auto" w:line="480"/>
        <w:jc w:val="center"/>
        <w:contextualSpacing/>
        <w:rPr>
          <w:rFonts w:ascii="Times New Roman" w:cs="Times New Roman" w:hAnsi="Times New Roman"/>
          <w:sz w:val="24"/>
          <w:szCs w:val="24"/>
        </w:rPr>
      </w:pPr>
    </w:p>
    <w:p>
      <w:pPr>
        <w:pStyle w:val="style0"/>
        <w:spacing w:lineRule="auto" w:line="480"/>
        <w:jc w:val="center"/>
        <w:contextualSpacing/>
        <w:rPr>
          <w:rFonts w:ascii="Times New Roman" w:cs="Times New Roman" w:hAnsi="Times New Roman"/>
          <w:b/>
          <w:bCs/>
          <w:sz w:val="28"/>
          <w:szCs w:val="28"/>
        </w:rPr>
      </w:pPr>
      <w:r>
        <w:rPr>
          <w:rFonts w:ascii="Times New Roman" w:cs="Times New Roman" w:hAnsi="Times New Roman"/>
          <w:b/>
          <w:bCs/>
          <w:sz w:val="28"/>
          <w:szCs w:val="28"/>
        </w:rPr>
        <w:t>Lactate Dehydrogenase Enzyme Kinetics</w:t>
      </w:r>
    </w:p>
    <w:p>
      <w:pPr>
        <w:pStyle w:val="style0"/>
        <w:spacing w:lineRule="auto" w:line="480"/>
        <w:jc w:val="center"/>
        <w:contextualSpacing/>
        <w:rPr>
          <w:rFonts w:ascii="Times New Roman" w:cs="Times New Roman" w:hAnsi="Times New Roman"/>
          <w:b/>
          <w:bCs/>
          <w:sz w:val="24"/>
          <w:szCs w:val="24"/>
        </w:rPr>
      </w:pPr>
    </w:p>
    <w:p>
      <w:pPr>
        <w:pStyle w:val="style0"/>
        <w:spacing w:lineRule="auto" w:line="480"/>
        <w:jc w:val="center"/>
        <w:contextualSpacing/>
        <w:rPr>
          <w:rFonts w:ascii="Times New Roman" w:cs="Times New Roman" w:hAnsi="Times New Roman"/>
          <w:b/>
          <w:bCs/>
          <w:sz w:val="24"/>
          <w:szCs w:val="24"/>
        </w:rPr>
      </w:pP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Student’s n</w:t>
      </w:r>
      <w:r>
        <w:rPr>
          <w:rFonts w:ascii="Times New Roman" w:cs="Times New Roman" w:hAnsi="Times New Roman"/>
          <w:sz w:val="24"/>
          <w:szCs w:val="24"/>
        </w:rPr>
        <w:t>ame</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 xml:space="preserve">University </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contextualSpacing/>
        <w:rPr>
          <w:rFonts w:ascii="Times New Roman" w:cs="Times New Roman" w:hAnsi="Times New Roman"/>
          <w:b/>
          <w:sz w:val="24"/>
          <w:szCs w:val="24"/>
        </w:rPr>
      </w:pPr>
      <w:r>
        <w:rPr>
          <w:rFonts w:ascii="Times New Roman" w:cs="Times New Roman" w:hAnsi="Times New Roman"/>
          <w:b/>
          <w:sz w:val="24"/>
          <w:szCs w:val="24"/>
        </w:rPr>
        <w:br w:type="page"/>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Introduction</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Lactate dehydrogenase (LDH) is a key enzyme used in anaerobic metabolic processes and is an oxidoreductase member.</w:t>
      </w:r>
      <w:r>
        <w:rPr>
          <w:rFonts w:ascii="Times New Roman" w:cs="Times New Roman" w:hAnsi="Times New Roman"/>
          <w:sz w:val="24"/>
          <w:szCs w:val="24"/>
        </w:rPr>
        <w:t xml:space="preserve"> According to (</w:t>
      </w:r>
      <w:r>
        <w:rPr>
          <w:rFonts w:ascii="Times New Roman" w:cs="Times New Roman" w:hAnsi="Times New Roman"/>
          <w:color w:val="222222"/>
          <w:sz w:val="24"/>
          <w:szCs w:val="24"/>
          <w:shd w:val="clear" w:color="auto" w:fill="ffffff"/>
        </w:rPr>
        <w:t>Farhana, 2020), t</w:t>
      </w:r>
      <w:r>
        <w:rPr>
          <w:rFonts w:ascii="Times New Roman" w:cs="Times New Roman" w:hAnsi="Times New Roman"/>
          <w:sz w:val="24"/>
          <w:szCs w:val="24"/>
        </w:rPr>
        <w:t>he enzyme functions by catalyzing the conversion of lactate to pyruvate and back with the simultaneous conversion of NADH to NAD+ and back.</w:t>
      </w:r>
      <w:r>
        <w:rPr>
          <w:rFonts w:ascii="Times New Roman" w:cs="Times New Roman" w:hAnsi="Times New Roman"/>
          <w:sz w:val="24"/>
          <w:szCs w:val="24"/>
        </w:rPr>
        <w:t xml:space="preserve"> There is a transfer of hydride from NADH in the forward reaction or addition to NAD+ in the reverse reaction.</w:t>
      </w:r>
      <w:r>
        <w:rPr>
          <w:rFonts w:ascii="Times New Roman" w:cs="Times New Roman" w:hAnsi="Times New Roman"/>
          <w:sz w:val="24"/>
          <w:szCs w:val="24"/>
        </w:rPr>
        <w:t xml:space="preserve"> LDH is found in a vast number of organisms, both plants, and animals, and is usually present in almost all the tissues and the cells of the body, serving as a marker for DNA metabolism and gluconeogenesis. Due to its ubiquitous presence in the cells and tissues, the amounts of this enzyme usually increase when tissues are injured, like in</w:t>
      </w:r>
      <w:r>
        <w:rPr>
          <w:rFonts w:ascii="Times New Roman" w:cs="Times New Roman" w:hAnsi="Times New Roman"/>
          <w:sz w:val="24"/>
          <w:szCs w:val="24"/>
        </w:rPr>
        <w:t xml:space="preserve"> heart attack, muscle traumas, </w:t>
      </w:r>
      <w:r>
        <w:rPr>
          <w:rFonts w:ascii="Times New Roman" w:cs="Times New Roman" w:hAnsi="Times New Roman"/>
          <w:sz w:val="24"/>
          <w:szCs w:val="24"/>
        </w:rPr>
        <w:t xml:space="preserve">liver </w:t>
      </w:r>
      <w:r>
        <w:rPr>
          <w:rFonts w:ascii="Times New Roman" w:cs="Times New Roman" w:hAnsi="Times New Roman"/>
          <w:sz w:val="24"/>
          <w:szCs w:val="24"/>
        </w:rPr>
        <w:t>damage</w:t>
      </w:r>
      <w:r>
        <w:rPr>
          <w:rFonts w:ascii="Times New Roman" w:cs="Times New Roman" w:hAnsi="Times New Roman"/>
          <w:sz w:val="24"/>
          <w:szCs w:val="24"/>
        </w:rPr>
        <w:t xml:space="preserve">, anemia, and </w:t>
      </w:r>
      <w:r>
        <w:rPr>
          <w:rFonts w:ascii="Times New Roman" w:cs="Times New Roman" w:hAnsi="Times New Roman"/>
          <w:sz w:val="24"/>
          <w:szCs w:val="24"/>
        </w:rPr>
        <w:t>fractures.</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ab/>
      </w:r>
    </w:p>
    <w:p>
      <w:pPr>
        <w:pStyle w:val="style0"/>
        <w:spacing w:lineRule="auto" w:line="480"/>
        <w:ind w:left="2160"/>
        <w:contextualSpacing/>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2095500" cy="800100"/>
            <wp:effectExtent l="19050" t="0" r="0" b="0"/>
            <wp:docPr id="1026" name="Picture 1" descr="https://upload.wikimedia.org/wikipedia/commons/thumb/9/9f/Reaction_catalyzed_by_lactate_dehydrogenase.png/220px-Reaction_catalyzed_by_lactate_dehydrogenase.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2095500" cy="800100"/>
                    </a:xfrm>
                    <a:prstGeom prst="rect"/>
                    <a:ln>
                      <a:noFill/>
                    </a:ln>
                  </pic:spPr>
                </pic:pic>
              </a:graphicData>
            </a:graphic>
          </wp:inline>
        </w:drawing>
      </w:r>
    </w:p>
    <w:p>
      <w:pPr>
        <w:pStyle w:val="style0"/>
        <w:shd w:val="clear" w:color="auto" w:fill="ffffff"/>
        <w:spacing w:before="100" w:beforeAutospacing="true" w:after="24" w:lineRule="auto" w:line="480"/>
        <w:ind w:firstLine="720"/>
        <w:contextualSpacing/>
        <w:rPr>
          <w:rFonts w:ascii="Times New Roman" w:cs="Times New Roman" w:eastAsia="Times New Roman" w:hAnsi="Times New Roman"/>
          <w:color w:val="000000"/>
          <w:sz w:val="24"/>
          <w:szCs w:val="24"/>
        </w:rPr>
      </w:pPr>
      <w:r>
        <w:rPr>
          <w:rFonts w:ascii="Times New Roman" w:cs="Times New Roman" w:hAnsi="Times New Roman"/>
          <w:sz w:val="24"/>
          <w:szCs w:val="24"/>
        </w:rPr>
        <w:t xml:space="preserve">LDH is a tetramer that is made up of four subunits, with two of </w:t>
      </w:r>
      <w:r>
        <w:rPr>
          <w:rFonts w:ascii="Times New Roman" w:cs="Times New Roman" w:hAnsi="Times New Roman"/>
          <w:sz w:val="24"/>
          <w:szCs w:val="24"/>
        </w:rPr>
        <w:t>these subunits</w:t>
      </w:r>
      <w:r>
        <w:rPr>
          <w:rFonts w:ascii="Times New Roman" w:cs="Times New Roman" w:hAnsi="Times New Roman"/>
          <w:sz w:val="24"/>
          <w:szCs w:val="24"/>
        </w:rPr>
        <w:t xml:space="preserve"> being the most common, which are LDH-M and LDH-H</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Farhana, 2020)</w:t>
      </w:r>
      <w:r>
        <w:rPr>
          <w:rFonts w:ascii="Times New Roman" w:cs="Times New Roman" w:hAnsi="Times New Roman"/>
          <w:sz w:val="24"/>
          <w:szCs w:val="24"/>
        </w:rPr>
        <w:t xml:space="preserve">. The genes that encode the two subunits are </w:t>
      </w:r>
      <w:r>
        <w:rPr>
          <w:rFonts w:ascii="Times New Roman" w:cs="Times New Roman" w:hAnsi="Times New Roman"/>
          <w:i/>
          <w:sz w:val="24"/>
          <w:szCs w:val="24"/>
        </w:rPr>
        <w:t>LDHA</w:t>
      </w:r>
      <w:r>
        <w:rPr>
          <w:rFonts w:ascii="Times New Roman" w:cs="Times New Roman" w:hAnsi="Times New Roman"/>
          <w:sz w:val="24"/>
          <w:szCs w:val="24"/>
        </w:rPr>
        <w:t xml:space="preserve"> and </w:t>
      </w:r>
      <w:r>
        <w:rPr>
          <w:rFonts w:ascii="Times New Roman" w:cs="Times New Roman" w:hAnsi="Times New Roman"/>
          <w:i/>
          <w:sz w:val="24"/>
          <w:szCs w:val="24"/>
        </w:rPr>
        <w:t>LDHB</w:t>
      </w:r>
      <w:r>
        <w:rPr>
          <w:rFonts w:ascii="Times New Roman" w:cs="Times New Roman" w:hAnsi="Times New Roman"/>
          <w:sz w:val="24"/>
          <w:szCs w:val="24"/>
        </w:rPr>
        <w:t xml:space="preserve">, respectively. LDH-M and LDH-H subunits usually mix in different combinations to produce five isoenzymes of the LDH: </w:t>
      </w:r>
      <w:r>
        <w:rPr>
          <w:rFonts w:ascii="Times New Roman" w:cs="Times New Roman" w:hAnsi="Times New Roman"/>
          <w:color w:val="202122"/>
          <w:sz w:val="24"/>
          <w:szCs w:val="24"/>
          <w:shd w:val="clear" w:color="auto" w:fill="ffffff"/>
        </w:rPr>
        <w:t xml:space="preserve">4H, 4M, and the three mixed tetramers (3H1M, 2H2 1H3M). </w:t>
      </w:r>
      <w:r>
        <w:rPr>
          <w:rFonts w:ascii="Times New Roman" w:cs="Times New Roman" w:hAnsi="Times New Roman"/>
          <w:sz w:val="24"/>
          <w:szCs w:val="24"/>
        </w:rPr>
        <w:t xml:space="preserve"> The isoenzymes are structurally similar but are distributed in different tissues. For instance, there is a more significant proportion of</w:t>
      </w:r>
      <w:r>
        <w:rPr>
          <w:rFonts w:ascii="Times New Roman" w:cs="Times New Roman" w:hAnsi="Times New Roman"/>
          <w:sz w:val="24"/>
          <w:szCs w:val="24"/>
        </w:rPr>
        <w:t xml:space="preserve"> LDH-5</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M</w:t>
      </w:r>
      <w:r>
        <w:rPr>
          <w:rFonts w:ascii="Times New Roman" w:cs="Times New Roman" w:hAnsi="Times New Roman"/>
          <w:sz w:val="24"/>
          <w:szCs w:val="24"/>
          <w:vertAlign w:val="subscript"/>
        </w:rPr>
        <w:t>4</w:t>
      </w:r>
      <w:r>
        <w:rPr>
          <w:rFonts w:ascii="Times New Roman" w:cs="Times New Roman" w:hAnsi="Times New Roman"/>
          <w:sz w:val="24"/>
          <w:szCs w:val="24"/>
        </w:rPr>
        <w:t>)</w:t>
      </w:r>
      <w:r>
        <w:rPr>
          <w:rFonts w:ascii="Times New Roman" w:cs="Times New Roman" w:hAnsi="Times New Roman"/>
          <w:sz w:val="24"/>
          <w:szCs w:val="24"/>
          <w:vertAlign w:val="subscript"/>
        </w:rPr>
        <w:t xml:space="preserve"> </w:t>
      </w:r>
      <w:r>
        <w:rPr>
          <w:rFonts w:ascii="Times New Roman" w:cs="Times New Roman" w:hAnsi="Times New Roman"/>
          <w:sz w:val="24"/>
          <w:szCs w:val="24"/>
        </w:rPr>
        <w:t>in the skeletal muscle and liver, while the heart majorly has</w:t>
      </w:r>
      <w:r>
        <w:rPr>
          <w:rFonts w:ascii="Times New Roman" w:cs="Times New Roman" w:hAnsi="Times New Roman"/>
          <w:sz w:val="24"/>
          <w:szCs w:val="24"/>
        </w:rPr>
        <w:t xml:space="preserve"> LDH-1</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H</w:t>
      </w:r>
      <w:r>
        <w:rPr>
          <w:rFonts w:ascii="Times New Roman" w:cs="Times New Roman" w:hAnsi="Times New Roman"/>
          <w:sz w:val="24"/>
          <w:szCs w:val="24"/>
          <w:vertAlign w:val="subscript"/>
        </w:rPr>
        <w:t>4</w:t>
      </w:r>
      <w:r>
        <w:rPr>
          <w:rFonts w:ascii="Times New Roman" w:cs="Times New Roman" w:hAnsi="Times New Roman"/>
          <w:sz w:val="24"/>
          <w:szCs w:val="24"/>
        </w:rPr>
        <w:t>)</w:t>
      </w:r>
      <w:r>
        <w:rPr>
          <w:rFonts w:ascii="Times New Roman" w:cs="Times New Roman" w:hAnsi="Times New Roman"/>
          <w:sz w:val="24"/>
          <w:szCs w:val="24"/>
        </w:rPr>
        <w:t>.</w:t>
      </w:r>
      <w:r>
        <w:rPr>
          <w:rFonts w:ascii="Times New Roman" w:cs="Times New Roman" w:hAnsi="Times New Roman"/>
          <w:sz w:val="24"/>
          <w:szCs w:val="24"/>
        </w:rPr>
        <w:t xml:space="preserve"> The other isoforms are distributed as follows: </w:t>
      </w:r>
      <w:r>
        <w:rPr>
          <w:rFonts w:ascii="Times New Roman" w:cs="Times New Roman" w:eastAsia="Times New Roman" w:hAnsi="Times New Roman"/>
          <w:color w:val="202122"/>
          <w:sz w:val="24"/>
          <w:szCs w:val="24"/>
        </w:rPr>
        <w:t>LDH-2 (3H1M</w:t>
      </w:r>
      <w:r>
        <w:rPr>
          <w:rFonts w:ascii="Times New Roman" w:cs="Times New Roman" w:eastAsia="Times New Roman" w:hAnsi="Times New Roman"/>
          <w:color w:val="202122"/>
          <w:sz w:val="24"/>
          <w:szCs w:val="24"/>
        </w:rPr>
        <w:t xml:space="preserve"> in the reticuloendothelial system</w:t>
      </w:r>
      <w:r>
        <w:rPr>
          <w:rFonts w:ascii="Times New Roman" w:cs="Times New Roman" w:eastAsia="Times New Roman" w:hAnsi="Times New Roman"/>
          <w:color w:val="000000"/>
          <w:sz w:val="24"/>
          <w:szCs w:val="24"/>
        </w:rPr>
        <w:t>, LDH-3 (2H2M, i</w:t>
      </w:r>
      <w:r>
        <w:rPr>
          <w:rFonts w:ascii="Times New Roman" w:cs="Times New Roman" w:eastAsia="Times New Roman" w:hAnsi="Times New Roman"/>
          <w:color w:val="000000"/>
          <w:sz w:val="24"/>
          <w:szCs w:val="24"/>
        </w:rPr>
        <w:t>n lungs</w:t>
      </w:r>
      <w:r>
        <w:rPr>
          <w:rFonts w:ascii="Times New Roman" w:cs="Times New Roman" w:eastAsia="Times New Roman" w:hAnsi="Times New Roman"/>
          <w:color w:val="000000"/>
          <w:sz w:val="24"/>
          <w:szCs w:val="24"/>
        </w:rPr>
        <w:t xml:space="preserve">, and LDH-4 (1H3M) in the </w:t>
      </w:r>
      <w:r>
        <w:rPr/>
        <w:fldChar w:fldCharType="begin"/>
      </w:r>
      <w:r>
        <w:instrText xml:space="preserve"> HYPERLINK "https://en.wikipedia.org/wiki/Kidney" \o "Kidney" </w:instrText>
      </w:r>
      <w:r>
        <w:rPr/>
        <w:fldChar w:fldCharType="separate"/>
      </w:r>
      <w:r>
        <w:rPr>
          <w:rFonts w:ascii="Times New Roman" w:cs="Times New Roman" w:eastAsia="Times New Roman" w:hAnsi="Times New Roman"/>
          <w:color w:val="000000"/>
          <w:sz w:val="24"/>
          <w:szCs w:val="24"/>
        </w:rPr>
        <w:t>kidneys</w:t>
      </w:r>
      <w:r>
        <w:rPr/>
        <w:fldChar w:fldCharType="end"/>
      </w:r>
      <w:r>
        <w:rPr>
          <w:rFonts w:ascii="Times New Roman" w:cs="Times New Roman" w:eastAsia="Times New Roman" w:hAnsi="Times New Roman"/>
          <w:color w:val="000000"/>
          <w:sz w:val="24"/>
          <w:szCs w:val="24"/>
        </w:rPr>
        <w:t xml:space="preserve"> and pancreas.</w:t>
      </w:r>
    </w:p>
    <w:p>
      <w:pPr>
        <w:pStyle w:val="style0"/>
        <w:shd w:val="clear" w:color="auto" w:fill="ffffff"/>
        <w:spacing w:before="100" w:beforeAutospacing="true" w:after="24" w:lineRule="auto" w:line="480"/>
        <w:ind w:firstLine="720"/>
        <w:contextualSpacing/>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The difference in the metabolic rates of different tissues is the primary reason for the uneven distribution of the isoforms showing the ratio in the </w:t>
      </w:r>
      <w:r>
        <w:rPr>
          <w:rFonts w:ascii="Times New Roman" w:cs="Times New Roman" w:hAnsi="Times New Roman"/>
          <w:color w:val="000000"/>
          <w:sz w:val="24"/>
          <w:szCs w:val="24"/>
          <w:shd w:val="clear" w:color="auto" w:fill="ffffff"/>
        </w:rPr>
        <w:t>LDHA: LDHB</w:t>
      </w:r>
      <w:r>
        <w:rPr>
          <w:rFonts w:ascii="Times New Roman" w:cs="Times New Roman" w:hAnsi="Times New Roman"/>
          <w:color w:val="000000"/>
          <w:sz w:val="24"/>
          <w:szCs w:val="24"/>
          <w:shd w:val="clear" w:color="auto" w:fill="ffffff"/>
        </w:rPr>
        <w:t xml:space="preserve"> genes in them. LDH is used by tissues to metabolize glucose in hypoxic states. During anaerobic metabolism, there is a disruption of ATP production by oxidative phosphorylation, leading to alternative metabolic pathways</w:t>
      </w:r>
      <w:r>
        <w:rPr>
          <w:rFonts w:ascii="Times New Roman" w:cs="Times New Roman" w:hAnsi="Times New Roman"/>
          <w:color w:val="000000"/>
          <w:sz w:val="24"/>
          <w:szCs w:val="24"/>
          <w:shd w:val="clear" w:color="auto" w:fill="ffffff"/>
        </w:rPr>
        <w:t xml:space="preserve"> (</w:t>
      </w:r>
      <w:r>
        <w:rPr>
          <w:rFonts w:ascii="Times New Roman" w:cs="Times New Roman" w:hAnsi="Times New Roman"/>
          <w:color w:val="222222"/>
          <w:sz w:val="24"/>
          <w:szCs w:val="24"/>
          <w:shd w:val="clear" w:color="auto" w:fill="ffffff"/>
        </w:rPr>
        <w:t>Chovanová, 2020)</w:t>
      </w:r>
      <w:r>
        <w:rPr>
          <w:rFonts w:ascii="Times New Roman" w:cs="Times New Roman" w:hAnsi="Times New Roman"/>
          <w:color w:val="000000"/>
          <w:sz w:val="24"/>
          <w:szCs w:val="24"/>
          <w:shd w:val="clear" w:color="auto" w:fill="ffffff"/>
        </w:rPr>
        <w:t xml:space="preserve">. As a result, LDH becomes upregulated to compensate the energy production. </w:t>
      </w:r>
      <w:r>
        <w:rPr>
          <w:rFonts w:ascii="Times New Roman" w:cs="Times New Roman" w:hAnsi="Times New Roman"/>
          <w:sz w:val="24"/>
          <w:szCs w:val="24"/>
        </w:rPr>
        <w:t>In anaerobic glycolysis, the enzyme prevents pyruvate buildup b</w:t>
      </w:r>
      <w:r>
        <w:rPr>
          <w:rFonts w:ascii="Times New Roman" w:cs="Times New Roman" w:hAnsi="Times New Roman"/>
          <w:sz w:val="24"/>
          <w:szCs w:val="24"/>
        </w:rPr>
        <w:t xml:space="preserve">y converting lactate and </w:t>
      </w:r>
      <w:r>
        <w:rPr>
          <w:rFonts w:ascii="Times New Roman" w:cs="Times New Roman" w:hAnsi="Times New Roman"/>
          <w:sz w:val="24"/>
          <w:szCs w:val="24"/>
        </w:rPr>
        <w:t>regenerating NAD+ to continue substrate-level ATP production</w:t>
      </w:r>
      <w:r>
        <w:rPr>
          <w:rFonts w:ascii="Times New Roman" w:cs="Times New Roman" w:hAnsi="Times New Roman"/>
          <w:sz w:val="24"/>
          <w:szCs w:val="24"/>
        </w:rPr>
        <w:t>. LDH function is subject to substrate inhibition and feedback inhibition.</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Background information on enzyme kinetics</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Enzymes are catalysts that accelerate the rate of biochemical reactions in a biological system. They are proteins with high molecular weight and act on substrate molecules to produce the product. Each enzyme exhibits substrate specificity and selectivity such that one enzyme can catalyze the breakdown of only particular reagents and not others</w:t>
      </w:r>
      <w:r>
        <w:rPr>
          <w:rFonts w:ascii="Times New Roman" w:cs="Times New Roman" w:hAnsi="Times New Roman"/>
          <w:sz w:val="24"/>
          <w:szCs w:val="24"/>
        </w:rPr>
        <w:t xml:space="preserve"> </w:t>
      </w:r>
      <w:r>
        <w:rPr>
          <w:rFonts w:ascii="Times New Roman" w:cs="Times New Roman" w:hAnsi="Times New Roman"/>
          <w:color w:val="000000"/>
          <w:sz w:val="24"/>
          <w:szCs w:val="24"/>
          <w:shd w:val="clear" w:color="auto" w:fill="ffffff"/>
        </w:rPr>
        <w:t>(</w:t>
      </w:r>
      <w:r>
        <w:rPr>
          <w:rFonts w:ascii="Times New Roman" w:cs="Times New Roman" w:hAnsi="Times New Roman"/>
          <w:color w:val="222222"/>
          <w:sz w:val="24"/>
          <w:szCs w:val="24"/>
          <w:shd w:val="clear" w:color="auto" w:fill="ffffff"/>
        </w:rPr>
        <w:t>Chovanová, 2020)</w:t>
      </w:r>
      <w:r>
        <w:rPr>
          <w:rFonts w:ascii="Times New Roman" w:cs="Times New Roman" w:hAnsi="Times New Roman"/>
          <w:sz w:val="24"/>
          <w:szCs w:val="24"/>
        </w:rPr>
        <w:t>. Since they are catalysts, enzymes are never used up in the biochemical reaction. The enzyme kinetics can be determined using the Michaelis-Menten equation. Most enzymatic reactions rely on the principal mechanism of forming an intermediate enzyme-</w:t>
      </w:r>
      <w:r>
        <w:rPr>
          <w:rFonts w:ascii="Times New Roman" w:cs="Times New Roman" w:hAnsi="Times New Roman"/>
          <w:sz w:val="24"/>
          <w:szCs w:val="24"/>
        </w:rPr>
        <w:t>substrate, ES,</w:t>
      </w:r>
      <w:r>
        <w:rPr>
          <w:rFonts w:ascii="Times New Roman" w:cs="Times New Roman" w:hAnsi="Times New Roman"/>
          <w:sz w:val="24"/>
          <w:szCs w:val="24"/>
        </w:rPr>
        <w:t xml:space="preserve"> a complex that decomposes to release the final product and the enzyme for another reaction. </w:t>
      </w:r>
    </w:p>
    <w:p>
      <w:pPr>
        <w:pStyle w:val="style0"/>
        <w:spacing w:lineRule="auto" w:line="480"/>
        <w:contextualSpacing/>
        <w:rPr>
          <w:rStyle w:val="style4098"/>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Cambria Math" w:cs="Cambria Math" w:hAnsi="Cambria Math"/>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Cambria Math" w:cs="Cambria Math" w:hAnsi="Cambria Math"/>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p>
    <w:p>
      <w:pPr>
        <w:pStyle w:val="style0"/>
        <w:spacing w:lineRule="auto" w:line="480"/>
        <w:ind w:firstLine="720"/>
        <w:contextualSpacing/>
        <w:rPr>
          <w:rStyle w:val="style4098"/>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At each instance, there are rate constants for the forward and the reverse reactions labeled as k</w:t>
      </w:r>
      <w:r>
        <w:rPr>
          <w:rStyle w:val="style4098"/>
          <w:rFonts w:ascii="Times New Roman" w:cs="Times New Roman" w:hAnsi="Times New Roman"/>
          <w:color w:val="000000"/>
          <w:sz w:val="24"/>
          <w:szCs w:val="24"/>
          <w:bdr w:val="none" w:sz="0" w:space="0" w:color="auto" w:frame="true"/>
          <w:shd w:val="clear" w:color="auto" w:fill="ffffff"/>
          <w:vertAlign w:val="subscript"/>
        </w:rPr>
        <w:t xml:space="preserve">1, </w:t>
      </w:r>
      <w:r>
        <w:rPr>
          <w:rStyle w:val="style4098"/>
          <w:rFonts w:ascii="Times New Roman" w:cs="Times New Roman" w:hAnsi="Times New Roman"/>
          <w:color w:val="000000"/>
          <w:sz w:val="24"/>
          <w:szCs w:val="24"/>
          <w:bdr w:val="none" w:sz="0" w:space="0" w:color="auto" w:frame="true"/>
          <w:shd w:val="clear" w:color="auto" w:fill="ffffff"/>
        </w:rPr>
        <w:t>k</w:t>
      </w:r>
      <w:r>
        <w:rPr>
          <w:rStyle w:val="style4098"/>
          <w:rFonts w:ascii="Times New Roman" w:cs="Times New Roman" w:hAnsi="Times New Roman"/>
          <w:color w:val="000000"/>
          <w:sz w:val="24"/>
          <w:szCs w:val="24"/>
          <w:bdr w:val="none" w:sz="0" w:space="0" w:color="auto" w:frame="true"/>
          <w:shd w:val="clear" w:color="auto" w:fill="ffffff"/>
          <w:vertAlign w:val="subscript"/>
        </w:rPr>
        <w:t>-1</w:t>
      </w:r>
      <w:r>
        <w:rPr>
          <w:rStyle w:val="style4098"/>
          <w:rFonts w:ascii="Times New Roman" w:cs="Times New Roman" w:hAnsi="Times New Roman"/>
          <w:color w:val="000000"/>
          <w:sz w:val="24"/>
          <w:szCs w:val="24"/>
          <w:bdr w:val="none" w:sz="0" w:space="0" w:color="auto" w:frame="true"/>
          <w:shd w:val="clear" w:color="auto" w:fill="ffffff"/>
        </w:rPr>
        <w:t>, k</w:t>
      </w:r>
      <w:r>
        <w:rPr>
          <w:rStyle w:val="style4098"/>
          <w:rFonts w:ascii="Times New Roman" w:cs="Times New Roman" w:hAnsi="Times New Roman"/>
          <w:color w:val="000000"/>
          <w:sz w:val="24"/>
          <w:szCs w:val="24"/>
          <w:bdr w:val="none" w:sz="0" w:space="0" w:color="auto" w:frame="true"/>
          <w:shd w:val="clear" w:color="auto" w:fill="ffffff"/>
          <w:vertAlign w:val="subscript"/>
        </w:rPr>
        <w:t>2</w:t>
      </w:r>
      <w:r>
        <w:rPr>
          <w:rStyle w:val="style4098"/>
          <w:rFonts w:ascii="Times New Roman" w:cs="Times New Roman" w:hAnsi="Times New Roman"/>
          <w:color w:val="000000"/>
          <w:sz w:val="24"/>
          <w:szCs w:val="24"/>
          <w:bdr w:val="none" w:sz="0" w:space="0" w:color="auto" w:frame="true"/>
          <w:shd w:val="clear" w:color="auto" w:fill="ffffff"/>
        </w:rPr>
        <w:t>, and k</w:t>
      </w:r>
      <w:r>
        <w:rPr>
          <w:rStyle w:val="style4098"/>
          <w:rFonts w:ascii="Times New Roman" w:cs="Times New Roman" w:hAnsi="Times New Roman"/>
          <w:color w:val="000000"/>
          <w:sz w:val="24"/>
          <w:szCs w:val="24"/>
          <w:bdr w:val="none" w:sz="0" w:space="0" w:color="auto" w:frame="true"/>
          <w:shd w:val="clear" w:color="auto" w:fill="ffffff"/>
          <w:vertAlign w:val="subscript"/>
        </w:rPr>
        <w:t>-2</w:t>
      </w:r>
      <w:r>
        <w:rPr>
          <w:rStyle w:val="style4098"/>
          <w:rFonts w:ascii="Times New Roman" w:cs="Times New Roman" w:hAnsi="Times New Roman"/>
          <w:color w:val="000000"/>
          <w:sz w:val="24"/>
          <w:szCs w:val="24"/>
          <w:bdr w:val="none" w:sz="0" w:space="0" w:color="auto" w:frame="true"/>
          <w:shd w:val="clear" w:color="auto" w:fill="ffffff"/>
        </w:rPr>
        <w:t xml:space="preserve">. From the rate constants, the rate law for response can be derived as; </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 xml:space="preserve">Rate </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r>
        <w:rPr>
          <w:rStyle w:val="style4099"/>
          <w:rFonts w:ascii="Times New Roman" w:cs="Times New Roman" w:hAnsi="Times New Roman"/>
          <w:color w:val="000000"/>
          <w:sz w:val="24"/>
          <w:szCs w:val="24"/>
          <w:bdr w:val="none" w:sz="0" w:space="0" w:color="auto" w:frame="true"/>
          <w:shd w:val="clear" w:color="auto" w:fill="ffffff"/>
        </w:rPr>
        <w:t xml:space="preserve">]. However, during the initial stages of the reaction, the concentration of the product [P] is always zero (0), and therefore, the reverse reaction is ignored, and the rate of reaction will be given by </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 xml:space="preserve">Rate </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 xml:space="preserve">]. </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Using steady state approximation the equation is rewritten in terms of reactants assuming that the ES concentration remains constant. Initially the rate at which the ES is formed</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0</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 xml:space="preserve">], will be equivalent to rate at which it decomposes </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p>
    <w:p>
      <w:pPr>
        <w:pStyle w:val="style0"/>
        <w:spacing w:lineRule="auto" w:line="480"/>
        <w:contextualSpacing/>
        <w:rPr>
          <w:rStyle w:val="style4098"/>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 xml:space="preserve">Equating the above two equations, </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ab/>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0</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p>
    <w:p>
      <w:pPr>
        <w:pStyle w:val="style0"/>
        <w:spacing w:lineRule="auto" w:line="480"/>
        <w:contextualSpacing/>
        <w:rPr>
          <w:rStyle w:val="style4098"/>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 xml:space="preserve">from the equation we can make the [ES] concentration the subject of the formula and get </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 xml:space="preserve"> </w:t>
      </w:r>
      <w:r>
        <w:rPr>
          <w:rStyle w:val="style4098"/>
          <w:rFonts w:ascii="Times New Roman" w:cs="Times New Roman" w:hAnsi="Times New Roman"/>
          <w:color w:val="000000"/>
          <w:sz w:val="24"/>
          <w:szCs w:val="24"/>
          <w:bdr w:val="none" w:sz="0" w:space="0" w:color="auto" w:frame="true"/>
          <w:shd w:val="clear" w:color="auto" w:fill="ffffff"/>
        </w:rPr>
        <w:tab/>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 =([</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0</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Km</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 where k</w:t>
      </w:r>
      <w:r>
        <w:rPr>
          <w:rStyle w:val="style4099"/>
          <w:rFonts w:ascii="Times New Roman" w:cs="Times New Roman" w:hAnsi="Times New Roman"/>
          <w:color w:val="000000"/>
          <w:sz w:val="24"/>
          <w:szCs w:val="24"/>
          <w:bdr w:val="none" w:sz="0" w:space="0" w:color="auto" w:frame="true"/>
          <w:shd w:val="clear" w:color="auto" w:fill="ffffff"/>
          <w:vertAlign w:val="subscript"/>
        </w:rPr>
        <w:t>m</w:t>
      </w:r>
      <w:r>
        <w:rPr>
          <w:rStyle w:val="style4099"/>
          <w:rFonts w:ascii="Times New Roman" w:cs="Times New Roman" w:hAnsi="Times New Roman"/>
          <w:color w:val="000000"/>
          <w:sz w:val="24"/>
          <w:szCs w:val="24"/>
          <w:bdr w:val="none" w:sz="0" w:space="0" w:color="auto" w:frame="true"/>
          <w:shd w:val="clear" w:color="auto" w:fill="ffffff"/>
        </w:rPr>
        <w:t xml:space="preserve"> </w:t>
      </w:r>
      <w:r>
        <w:rPr>
          <w:rStyle w:val="style4100"/>
          <w:rFonts w:ascii="Times New Roman" w:cs="Times New Roman" w:hAnsi="Times New Roman"/>
          <w:color w:val="000000"/>
          <w:sz w:val="24"/>
          <w:szCs w:val="24"/>
          <w:bdr w:val="none" w:sz="0" w:space="0" w:color="auto" w:frame="true"/>
          <w:shd w:val="clear" w:color="auto" w:fill="ffffff"/>
        </w:rPr>
        <w:t xml:space="preserve">which is the </w:t>
      </w:r>
      <w:r>
        <w:rPr>
          <w:rStyle w:val="style87"/>
          <w:rFonts w:ascii="Times New Roman" w:cs="Times New Roman" w:hAnsi="Times New Roman"/>
          <w:b w:val="false"/>
          <w:color w:val="000000"/>
          <w:sz w:val="24"/>
          <w:szCs w:val="24"/>
          <w:shd w:val="clear" w:color="auto" w:fill="ffffff"/>
        </w:rPr>
        <w:t>Michaelis constant</w:t>
      </w:r>
      <w:r>
        <w:rPr>
          <w:rStyle w:val="style4100"/>
          <w:rFonts w:ascii="Times New Roman" w:cs="Times New Roman" w:hAnsi="Times New Roman"/>
          <w:b/>
          <w:color w:val="000000"/>
          <w:sz w:val="24"/>
          <w:szCs w:val="24"/>
          <w:bdr w:val="none" w:sz="0" w:space="0" w:color="auto" w:frame="true"/>
          <w:shd w:val="clear" w:color="auto" w:fill="ffffff"/>
        </w:rPr>
        <w:t xml:space="preserve"> </w:t>
      </w:r>
      <w:r>
        <w:rPr>
          <w:rStyle w:val="style4099"/>
          <w:rFonts w:ascii="Times New Roman" w:cs="Times New Roman" w:hAnsi="Times New Roman"/>
          <w:color w:val="000000"/>
          <w:sz w:val="24"/>
          <w:szCs w:val="24"/>
          <w:bdr w:val="none" w:sz="0" w:space="0" w:color="auto" w:frame="true"/>
          <w:shd w:val="clear" w:color="auto" w:fill="ffffff"/>
        </w:rPr>
        <w:t>= (</w:t>
      </w:r>
      <w:r>
        <w:rPr>
          <w:rStyle w:val="style4098"/>
          <w:rFonts w:ascii="Times New Roman" w:cs="Times New Roman" w:hAnsi="Times New Roman"/>
          <w:color w:val="000000"/>
          <w:sz w:val="24"/>
          <w:szCs w:val="24"/>
          <w:bdr w:val="none" w:sz="0" w:space="0" w:color="auto" w:frame="true"/>
          <w:shd w:val="clear" w:color="auto" w:fill="ffffff"/>
        </w:rPr>
        <w:t>k</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1</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Fonts w:ascii="Times New Roman" w:cs="Times New Roman" w:hAnsi="Times New Roman"/>
          <w:color w:val="000000"/>
          <w:sz w:val="24"/>
          <w:szCs w:val="24"/>
          <w:bdr w:val="none" w:sz="0" w:space="0" w:color="auto" w:frame="true"/>
          <w:shd w:val="clear" w:color="auto" w:fill="ffffff"/>
        </w:rPr>
        <w:t xml:space="preserve">The final equation will be </w:t>
      </w: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0</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Km</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 xml:space="preserve">]) which when plotted </w:t>
      </w:r>
      <w:r>
        <w:rPr>
          <w:rStyle w:val="style4099"/>
          <w:rFonts w:ascii="Times New Roman" w:cs="Times New Roman" w:hAnsi="Times New Roman"/>
          <w:color w:val="000000"/>
          <w:sz w:val="24"/>
          <w:szCs w:val="24"/>
          <w:bdr w:val="none" w:sz="0" w:space="0" w:color="auto" w:frame="true"/>
          <w:shd w:val="clear" w:color="auto" w:fill="ffffff"/>
        </w:rPr>
        <w:t xml:space="preserve">gives the graph below </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ab/>
      </w:r>
      <w:r>
        <w:rPr>
          <w:rStyle w:val="style4099"/>
          <w:rFonts w:ascii="Times New Roman" w:cs="Times New Roman" w:hAnsi="Times New Roman"/>
          <w:color w:val="000000"/>
          <w:sz w:val="24"/>
          <w:szCs w:val="24"/>
          <w:bdr w:val="none" w:sz="0" w:space="0" w:color="auto" w:frame="true"/>
          <w:shd w:val="clear" w:color="auto" w:fill="ffffff"/>
        </w:rPr>
        <w:tab/>
      </w:r>
      <w:r>
        <w:rPr>
          <w:rFonts w:ascii="Times New Roman" w:cs="Times New Roman" w:hAnsi="Times New Roman"/>
          <w:noProof/>
          <w:sz w:val="24"/>
          <w:szCs w:val="24"/>
        </w:rPr>
        <w:drawing>
          <wp:inline distL="0" distT="0" distB="0" distR="0">
            <wp:extent cx="4229600" cy="2264735"/>
            <wp:effectExtent l="19050" t="0" r="0" b="0"/>
            <wp:docPr id="1027" name="Picture 4" descr="Figure13.10.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4"/>
                    <pic:cNvPicPr/>
                  </pic:nvPicPr>
                  <pic:blipFill>
                    <a:blip r:embed="rId3" cstate="print"/>
                    <a:srcRect l="0" t="0" r="0" b="0"/>
                    <a:stretch/>
                  </pic:blipFill>
                  <pic:spPr>
                    <a:xfrm rot="0">
                      <a:off x="0" y="0"/>
                      <a:ext cx="4229600" cy="2264735"/>
                    </a:xfrm>
                    <a:prstGeom prst="rect"/>
                    <a:ln>
                      <a:noFill/>
                    </a:ln>
                  </pic:spPr>
                </pic:pic>
              </a:graphicData>
            </a:graphic>
          </wp:inline>
        </w:drawing>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ab/>
      </w:r>
      <w:r>
        <w:rPr>
          <w:rStyle w:val="style4099"/>
          <w:rFonts w:ascii="Times New Roman" w:cs="Times New Roman" w:hAnsi="Times New Roman"/>
          <w:color w:val="000000"/>
          <w:sz w:val="24"/>
          <w:szCs w:val="24"/>
          <w:bdr w:val="none" w:sz="0" w:space="0" w:color="auto" w:frame="true"/>
          <w:shd w:val="clear" w:color="auto" w:fill="ffffff"/>
        </w:rPr>
        <w:t>Three kinetic parameters can be used to describe LDH's enzymatic activity: maximal reaction rate (Vmax), pyruvate concentration necessary to achieve half of Vmax (KM), and specific activity. A spectrophotometer was used to quantify light absorption by a substance in order to acquire the results. Because NADH absorbs light extensively at 340 nm whereas NAD+ does not, the difference between substrates and products may be measured. After further data processing, Vmax and KM can be obtained.</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 xml:space="preserve">The Lineweaver-Burk plot can be obtained by plotting the inverse of the reaction rate against the inverse of substrate concentration. This plot will help in analyzing the Michaelis- Menten equation graphically. </w:t>
      </w:r>
    </w:p>
    <w:p>
      <w:pPr>
        <w:pStyle w:val="style0"/>
        <w:spacing w:lineRule="auto" w:line="480"/>
        <w:jc w:val="center"/>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Aim of experiment</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 xml:space="preserve">To compare the rate of enzymatic reaction of lactate dehydrogenase enzyme in the presence and absence of an inhibitor. </w:t>
      </w:r>
    </w:p>
    <w:p>
      <w:pPr>
        <w:pStyle w:val="style0"/>
        <w:spacing w:lineRule="auto" w:line="480"/>
        <w:ind w:left="720" w:firstLine="720"/>
        <w:contextualSpacing/>
        <w:rPr>
          <w:rFonts w:ascii="Times New Roman" w:cs="Times New Roman" w:hAnsi="Times New Roman"/>
          <w:color w:val="000000"/>
          <w:sz w:val="24"/>
          <w:szCs w:val="24"/>
          <w:bdr w:val="none" w:sz="0" w:space="0" w:color="auto" w:frame="true"/>
          <w:shd w:val="clear" w:color="auto" w:fill="ffffff"/>
        </w:rPr>
      </w:pPr>
      <w:r>
        <w:rPr>
          <w:rFonts w:ascii="Times New Roman" w:cs="Times New Roman" w:hAnsi="Times New Roman"/>
          <w:noProof/>
          <w:sz w:val="24"/>
          <w:szCs w:val="24"/>
        </w:rPr>
        <w:drawing>
          <wp:inline distL="0" distT="0" distB="0" distR="0">
            <wp:extent cx="4093534" cy="2104755"/>
            <wp:effectExtent l="19050" t="0" r="2215" b="0"/>
            <wp:docPr id="1028" name="Picture 7" descr="https://chem.libretexts.org/@api/deki/files/69102/Lineweaver-Burke_plot.png?revision=2&amp;size=bestfit&amp;width=46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7"/>
                    <pic:cNvPicPr/>
                  </pic:nvPicPr>
                  <pic:blipFill>
                    <a:blip r:embed="rId4" cstate="print"/>
                    <a:srcRect l="0" t="0" r="0" b="0"/>
                    <a:stretch/>
                  </pic:blipFill>
                  <pic:spPr>
                    <a:xfrm rot="0">
                      <a:off x="0" y="0"/>
                      <a:ext cx="4093534" cy="2104755"/>
                    </a:xfrm>
                    <a:prstGeom prst="rect"/>
                    <a:ln>
                      <a:noFill/>
                    </a:ln>
                  </pic:spPr>
                </pic:pic>
              </a:graphicData>
            </a:graphic>
          </wp:inline>
        </w:drawing>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Results</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Experiment 1 (no inhibitor)</w:t>
      </w:r>
    </w:p>
    <w:tbl>
      <w:tblPr>
        <w:tblpPr w:leftFromText="180" w:rightFromText="180" w:topFromText="0" w:bottomFromText="0" w:vertAnchor="text" w:horzAnchor="page" w:tblpX="1" w:tblpY="161"/>
        <w:tblW w:w="14360" w:type="dxa"/>
        <w:tblCellMar>
          <w:top w:w="15" w:type="dxa"/>
          <w:bottom w:w="15" w:type="dxa"/>
        </w:tblCellMar>
        <w:tblLook w:val="04A0" w:firstRow="1" w:lastRow="0" w:firstColumn="1" w:lastColumn="0" w:noHBand="0" w:noVBand="1"/>
      </w:tblPr>
      <w:tblGrid>
        <w:gridCol w:w="966"/>
        <w:gridCol w:w="704"/>
        <w:gridCol w:w="705"/>
        <w:gridCol w:w="705"/>
        <w:gridCol w:w="705"/>
        <w:gridCol w:w="705"/>
        <w:gridCol w:w="705"/>
        <w:gridCol w:w="705"/>
        <w:gridCol w:w="705"/>
        <w:gridCol w:w="705"/>
        <w:gridCol w:w="705"/>
        <w:gridCol w:w="705"/>
        <w:gridCol w:w="705"/>
        <w:gridCol w:w="705"/>
        <w:gridCol w:w="705"/>
        <w:gridCol w:w="705"/>
        <w:gridCol w:w="705"/>
        <w:gridCol w:w="705"/>
        <w:gridCol w:w="705"/>
        <w:gridCol w:w="705"/>
      </w:tblGrid>
      <w:tr>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Time</w:t>
            </w:r>
          </w:p>
        </w:tc>
        <w:tc>
          <w:tcPr>
            <w:tcW w:w="704"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T1A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T1B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T2A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T2B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T3A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T3B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T4A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T4B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T5A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T5B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T6A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T6B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T7A</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1.690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1.684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1.581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1.580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1.578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1.579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1.612</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1.393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1.406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1.353</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20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1.064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1.179</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30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0.974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0.954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0.904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0.850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0.877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0.985</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40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1.790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0.858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0.878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0.868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0.686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0.652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0.669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0.818</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50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0.835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0.511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0.490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0.501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0.660</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60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0.817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0.813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0.353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0.352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0.353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0.536</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70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0.226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0.236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0.231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0.423</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80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0.138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0.144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0.141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0.320</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90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0.087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0.231</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100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1.779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0.060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0.059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0.060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0.165</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110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0.126</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120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0.100</w:t>
            </w:r>
          </w:p>
        </w:tc>
      </w:tr>
    </w:tbl>
    <w:p>
      <w:pPr>
        <w:pStyle w:val="style0"/>
        <w:spacing w:lineRule="auto" w:line="480"/>
        <w:contextualSpacing/>
        <w:rPr>
          <w:rFonts w:ascii="Times New Roman" w:cs="Times New Roman" w:hAnsi="Times New Roman"/>
          <w:sz w:val="24"/>
          <w:szCs w:val="24"/>
        </w:rPr>
      </w:pPr>
    </w:p>
    <w:tbl>
      <w:tblPr>
        <w:tblStyle w:val="style154"/>
        <w:tblW w:w="0" w:type="auto"/>
        <w:tblLook w:val="04A0" w:firstRow="1" w:lastRow="0" w:firstColumn="1" w:lastColumn="0" w:noHBand="0" w:noVBand="1"/>
      </w:tblPr>
      <w:tblGrid>
        <w:gridCol w:w="960"/>
        <w:gridCol w:w="960"/>
        <w:gridCol w:w="960"/>
        <w:gridCol w:w="960"/>
        <w:gridCol w:w="960"/>
        <w:gridCol w:w="960"/>
        <w:gridCol w:w="960"/>
        <w:gridCol w:w="960"/>
      </w:tblGrid>
      <w:tr>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Time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 T1 Ave </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T2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T3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T4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T5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T6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T7 Ave</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1.609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1.581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1.579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1.618</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1.645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1.547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1.406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1.291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1.372</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1.332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1.103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1.082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30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1.308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0.954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0.877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1.017</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40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1.297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0.868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0.669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0.855</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50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1.291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0.828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0.501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0.705</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60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0.813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0.353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0.571</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70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0.804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0.231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0.448</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80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0.799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0.141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0.34</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90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0.794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0.087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0.254</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1.279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0.06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0.19</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1.278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0.047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0.145</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1.278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0.786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0.042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0.115</w:t>
            </w:r>
          </w:p>
        </w:tc>
      </w:tr>
    </w:tbl>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drawing>
          <wp:inline distL="114300" distT="0" distB="0" distR="114300">
            <wp:extent cx="5834063" cy="3914775"/>
            <wp:effectExtent l="0" t="0" r="0" b="0"/>
            <wp:docPr id="1030"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Pr>
          <w:rFonts w:ascii="Times New Roman" w:cs="Times New Roman" w:hAnsi="Times New Roman"/>
          <w:noProof/>
          <w:sz w:val="24"/>
          <w:szCs w:val="24"/>
        </w:rPr>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Interpretation</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The inclination of the increases as the concentration of the substrate increase. At a higher substrate concentration, the rate of enzymatic reaction is very high leading to subsequent increase in the rate of conversion of NADH to NAD+. This is denoted by the sharp drop in the absorbance of the mixture as shown by the lines on the graphs. Therefore</w:t>
      </w:r>
      <w:r>
        <w:rPr>
          <w:rFonts w:ascii="Times New Roman" w:cs="Times New Roman" w:hAnsi="Times New Roman"/>
          <w:sz w:val="24"/>
          <w:szCs w:val="24"/>
        </w:rPr>
        <w:t>,</w:t>
      </w:r>
      <w:r>
        <w:rPr>
          <w:rFonts w:ascii="Times New Roman" w:cs="Times New Roman" w:hAnsi="Times New Roman"/>
          <w:sz w:val="24"/>
          <w:szCs w:val="24"/>
        </w:rPr>
        <w:t xml:space="preserve"> the rate of reaction is directly proportional to the concentration of the substrate up to an optimum substrate concentration when all active sites are occupied.</w:t>
      </w:r>
    </w:p>
    <w:p>
      <w:pPr>
        <w:pStyle w:val="style0"/>
        <w:spacing w:lineRule="auto" w:line="480"/>
        <w:contextualSpacing/>
        <w:rPr>
          <w:rFonts w:ascii="Times New Roman" w:cs="Times New Roman" w:hAnsi="Times New Roman"/>
          <w:sz w:val="24"/>
          <w:szCs w:val="24"/>
        </w:rPr>
      </w:pP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Experiment 2 (inhibitor)</w:t>
      </w:r>
    </w:p>
    <w:tbl>
      <w:tblPr>
        <w:tblpPr w:leftFromText="180" w:rightFromText="180" w:topFromText="0" w:bottomFromText="0" w:vertAnchor="text" w:horzAnchor="page" w:tblpX="1" w:tblpY="161"/>
        <w:tblW w:w="13981" w:type="dxa"/>
        <w:tblCellMar>
          <w:top w:w="15" w:type="dxa"/>
          <w:bottom w:w="15" w:type="dxa"/>
        </w:tblCellMar>
        <w:tblLook w:val="04A0" w:firstRow="1" w:lastRow="0" w:firstColumn="1" w:lastColumn="0" w:noHBand="0" w:noVBand="1"/>
      </w:tblPr>
      <w:tblGrid>
        <w:gridCol w:w="628"/>
        <w:gridCol w:w="704"/>
        <w:gridCol w:w="705"/>
        <w:gridCol w:w="705"/>
        <w:gridCol w:w="705"/>
        <w:gridCol w:w="705"/>
        <w:gridCol w:w="705"/>
        <w:gridCol w:w="705"/>
        <w:gridCol w:w="705"/>
        <w:gridCol w:w="705"/>
        <w:gridCol w:w="705"/>
        <w:gridCol w:w="705"/>
        <w:gridCol w:w="705"/>
        <w:gridCol w:w="705"/>
        <w:gridCol w:w="705"/>
        <w:gridCol w:w="705"/>
        <w:gridCol w:w="705"/>
        <w:gridCol w:w="705"/>
        <w:gridCol w:w="705"/>
        <w:gridCol w:w="705"/>
      </w:tblGrid>
      <w:tr>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Time</w:t>
            </w:r>
          </w:p>
        </w:tc>
        <w:tc>
          <w:tcPr>
            <w:tcW w:w="704"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Ti1A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Ti1B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Ti2A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Ti2B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Ti3A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Ti3B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Ti4A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Ti4B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Ti5A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Ti5B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Ti6A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Ti6B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Ti7A</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Cs/>
                <w:color w:val="000000"/>
                <w:sz w:val="18"/>
                <w:szCs w:val="18"/>
              </w:rPr>
            </w:pPr>
            <w:r>
              <w:rPr>
                <w:rFonts w:ascii="Times New Roman" w:cs="Times New Roman" w:eastAsia="Times New Roman" w:hAnsi="Times New Roman"/>
                <w:bCs/>
                <w:color w:val="000000"/>
                <w:sz w:val="18"/>
                <w:szCs w:val="18"/>
              </w:rPr>
              <w:t>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1.681</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1.681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1.672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1.677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1.616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1.613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1.589</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20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1.662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1.656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1.576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1.552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1.555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1.517</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30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1.495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1.456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1.476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1.466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1.459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1.487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1.473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1.448</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40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1.466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1.438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1.452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1.398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1.412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1.396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1.383</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50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1.391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1.349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1.308</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60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1.751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1.375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1.351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1.363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1.241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1.257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1.213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1.256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1.235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1.232</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70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1.348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1.204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1.178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1.153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1.154</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80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1.101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1.134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1.042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1.099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1.071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1.074</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90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1.051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0.962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1.022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0.992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0.996</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100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1.739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0.973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0.992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0.888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0.945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0.915</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110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0.955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0.876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0.848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0.846</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120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0.873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0.911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0.892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0.755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0.811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w:t>
            </w:r>
          </w:p>
        </w:tc>
      </w:tr>
    </w:tbl>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tbl>
      <w:tblPr>
        <w:tblStyle w:val="style154"/>
        <w:tblW w:w="0" w:type="auto"/>
        <w:tblLook w:val="04A0" w:firstRow="1" w:lastRow="0" w:firstColumn="1" w:lastColumn="0" w:noHBand="0" w:noVBand="1"/>
      </w:tblPr>
      <w:tblGrid>
        <w:gridCol w:w="960"/>
        <w:gridCol w:w="960"/>
        <w:gridCol w:w="960"/>
        <w:gridCol w:w="960"/>
        <w:gridCol w:w="960"/>
        <w:gridCol w:w="960"/>
        <w:gridCol w:w="960"/>
        <w:gridCol w:w="960"/>
      </w:tblGrid>
      <w:tr>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Time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T1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T2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T3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T4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T5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T6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T7 Ave</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1.714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1.708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1.703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1.713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1.693</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1.677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1.643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1.607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1.613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1.601</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1.656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1.599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1.564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1.539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1.547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1.533</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30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1.645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1.564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1.508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1.466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1.473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1.459</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40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1.546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1.452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1.398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1.396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1.391</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50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1.535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1.403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1.332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1.317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1.316</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60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1.363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1.257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1.235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1.24</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70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1.333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1.153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1.167</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80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1.317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1.118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1.071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1.093</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90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1.311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1.051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0.992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1.015</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1.305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0.992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0.917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0.936</w:t>
            </w:r>
          </w:p>
        </w:tc>
      </w:tr>
      <w:tr>
        <w:tblPrEx/>
        <w:trPr>
          <w:trHeight w:val="26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1.303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0.937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0.848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0.865</w:t>
            </w:r>
          </w:p>
        </w:tc>
      </w:tr>
      <w:tr>
        <w:tblPrEx/>
        <w:trPr>
          <w:trHeight w:val="85"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0.892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0.783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0.797</w:t>
            </w:r>
          </w:p>
        </w:tc>
      </w:tr>
    </w:tbl>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drawing>
          <wp:inline distL="114300" distT="0" distB="0" distR="114300">
            <wp:extent cx="5943600" cy="3449320"/>
            <wp:effectExtent l="0" t="0" r="0" b="0"/>
            <wp:docPr id="1032"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Pr>
          <w:rFonts w:ascii="Times New Roman" w:cs="Times New Roman" w:hAnsi="Times New Roman"/>
          <w:noProof/>
          <w:sz w:val="24"/>
          <w:szCs w:val="24"/>
        </w:rPr>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 xml:space="preserve">Interpretation </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In the presence of an inhibitor the </w:t>
      </w:r>
      <w:r>
        <w:rPr>
          <w:rFonts w:ascii="Times New Roman" w:cs="Times New Roman" w:hAnsi="Times New Roman"/>
          <w:sz w:val="24"/>
          <w:szCs w:val="24"/>
        </w:rPr>
        <w:t xml:space="preserve">inclination of the lines is gradually decreasing until an optimum point when change in concentration has very little impact in absorbance. Inhibitors usually bind to enzyme active site or the allosteric sites leading to decrease in rate of conversion of substrate to products. As a result, there is slow rate of depletion of NADH which is responsible for the absorbance in the reaction mixture. Therefore, the rate of enzymatic reaction is indirectly proportional to the presence of inhibitors. </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Discussions</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The experiment enabled the determination of the enzymatic activity of LDH using a spectrophotometer. This activity was observed over a range of substrate concentrations. It was noted that the absorbance of the tube contents was decreasing over time, indicating that the NADH was being used up. An explanation for the NADH </w:t>
      </w:r>
      <w:r>
        <w:rPr>
          <w:rFonts w:ascii="Times New Roman" w:cs="Times New Roman" w:hAnsi="Times New Roman"/>
          <w:sz w:val="24"/>
          <w:szCs w:val="24"/>
        </w:rPr>
        <w:t xml:space="preserve">depletion is the presence of an </w:t>
      </w:r>
      <w:r>
        <w:rPr>
          <w:rFonts w:ascii="Times New Roman" w:cs="Times New Roman" w:hAnsi="Times New Roman"/>
          <w:sz w:val="24"/>
          <w:szCs w:val="24"/>
        </w:rPr>
        <w:t>enzymatic reaction under the influence of LDH</w:t>
      </w:r>
      <w:r>
        <w:rPr>
          <w:rFonts w:ascii="Times New Roman" w:cs="Times New Roman" w:hAnsi="Times New Roman"/>
          <w:sz w:val="24"/>
          <w:szCs w:val="24"/>
        </w:rPr>
        <w:t>. In this reaction, LDH catalyzes the conversion of pyruvate to lactate, whereas NADH is the cofactor that sources the hydride and, in turn, is converted to NAD+</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Farhana, 2020)</w:t>
      </w:r>
      <w:r>
        <w:rPr>
          <w:rFonts w:ascii="Times New Roman" w:cs="Times New Roman" w:hAnsi="Times New Roman"/>
          <w:sz w:val="24"/>
          <w:szCs w:val="24"/>
        </w:rPr>
        <w:t>. Therefore, the absorbance will decrease because of the changing concentration of NADH, which is present in the mixture to absorb the light.</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Comparing the graphs for experiment one and experiment two, there was a notable difference in the inclination of the lines. As observed, the inclination increased when the experiment was conducted in the presence of substrate only compared to when an inhibitor was added to the reaction. In the presence of the substrate only, the higher the concentration of sodium pyruvate, the faster the rate of the enzymatic reaction leading to a shift</w:t>
      </w:r>
      <w:r>
        <w:rPr>
          <w:rFonts w:ascii="Times New Roman" w:cs="Times New Roman" w:hAnsi="Times New Roman"/>
          <w:sz w:val="24"/>
          <w:szCs w:val="24"/>
        </w:rPr>
        <w:t xml:space="preserve"> of equilibrium to the right. As a rule of thumb, when the substrate concentration is high, the reaction rate will increase because this provides more sites for the enzymes to bind</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Kumar, 2018)</w:t>
      </w:r>
      <w:r>
        <w:rPr>
          <w:rFonts w:ascii="Times New Roman" w:cs="Times New Roman" w:hAnsi="Times New Roman"/>
          <w:sz w:val="24"/>
          <w:szCs w:val="24"/>
        </w:rPr>
        <w:t>. It can be deduced that the activity of LDH is proportional to substrate concentration.</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In the presence of an inhibitor, however, the inclination of the graphs decreased. Enzyme inhibitors reduce the rate of the reaction by different mechanisms. Competitive inhibitors of LDH will compete with pyruvate for the enzyme's active site, leading to fewer sites for binding the substrate</w:t>
      </w:r>
      <w:r>
        <w:rPr>
          <w:rFonts w:ascii="Times New Roman" w:cs="Times New Roman" w:hAnsi="Times New Roman"/>
          <w:sz w:val="24"/>
          <w:szCs w:val="24"/>
        </w:rPr>
        <w:t xml:space="preserve"> </w:t>
      </w:r>
      <w:r>
        <w:rPr>
          <w:rFonts w:ascii="Times New Roman" w:cs="Times New Roman" w:hAnsi="Times New Roman"/>
          <w:color w:val="000000"/>
          <w:sz w:val="24"/>
          <w:szCs w:val="24"/>
          <w:shd w:val="clear" w:color="auto" w:fill="ffffff"/>
        </w:rPr>
        <w:t>(</w:t>
      </w:r>
      <w:r>
        <w:rPr>
          <w:rFonts w:ascii="Times New Roman" w:cs="Times New Roman" w:hAnsi="Times New Roman"/>
          <w:color w:val="222222"/>
          <w:sz w:val="24"/>
          <w:szCs w:val="24"/>
          <w:shd w:val="clear" w:color="auto" w:fill="ffffff"/>
        </w:rPr>
        <w:t>Chovanová, 2020)</w:t>
      </w:r>
      <w:r>
        <w:rPr>
          <w:rFonts w:ascii="Times New Roman" w:cs="Times New Roman" w:hAnsi="Times New Roman"/>
          <w:sz w:val="24"/>
          <w:szCs w:val="24"/>
        </w:rPr>
        <w:t>. As a result, the rate of product formation is slowed, and the equilibrium may shift to the left. Non-competitive inhibitors, on the other hand, will bind to sites other than the active site and cause a conformational change to the enzyme to interfere with the binding of the substrate on the active site. Therefore, it can be concluded that the activity of LDH is indirectly proportional to the inhibitors.</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However, there was a flaw with the experiment that affected the reliability of the experimental results and could be remedied with a different procedure. When the reaction mixtures were combined and placed into the spectrophotometer chamber, there had been a time </w:t>
      </w:r>
      <w:r>
        <w:rPr>
          <w:rFonts w:ascii="Times New Roman" w:cs="Times New Roman" w:hAnsi="Times New Roman"/>
          <w:sz w:val="24"/>
          <w:szCs w:val="24"/>
        </w:rPr>
        <w:t>lag during the experiment. Because the time it takes to agitate the solution is likely to be equal to the reaction time, the absorbance uncertainties with regard to every time interval is likely to increase. For light absorption measurement, a stopped-flow apparatus is recommended to reduce inaccuracy. Solutions are forced to leave from stopping injectors into the mixing chamber of a stopped-flow device rather than being blended manually.</w:t>
      </w:r>
      <w:r>
        <w:rPr>
          <w:rFonts w:ascii="Times New Roman" w:cs="Times New Roman" w:hAnsi="Times New Roman"/>
          <w:sz w:val="24"/>
          <w:szCs w:val="24"/>
        </w:rPr>
        <w:t xml:space="preserve"> </w:t>
      </w:r>
      <w:r>
        <w:rPr>
          <w:rFonts w:ascii="Times New Roman" w:cs="Times New Roman" w:hAnsi="Times New Roman"/>
          <w:sz w:val="24"/>
          <w:szCs w:val="24"/>
        </w:rPr>
        <w:t>The plunger will be pushed back by the short flow of solution, resulting in immediate data gathering. By tracking the change in absorbance versus time, the approach provides for precise estimation of reaction kinetics in milliseconds.</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Conclusion</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From the experiment, it can be concluded that the rate of enzymatic activity of LDH is directly proportional to the concentration of the substrate and indirectly proportional to the presence of an inhibitor. The higher the concentration of pyruvate, the higher the reaction rate, leading to a faster decrease in NADH concentration to absorb light. In the presence of inhibitors, the reaction rate decreases, and the concentration of NADH changes slowly hence the slight effect on light absorbance. </w:t>
      </w: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b/>
          <w:bCs/>
          <w:sz w:val="24"/>
          <w:szCs w:val="24"/>
        </w:rPr>
      </w:pPr>
    </w:p>
    <w:p>
      <w:pPr>
        <w:pStyle w:val="style0"/>
        <w:spacing w:lineRule="auto" w:line="480"/>
        <w:jc w:val="center"/>
        <w:contextualSpacing/>
        <w:rPr>
          <w:rFonts w:ascii="Times New Roman" w:cs="Times New Roman" w:hAnsi="Times New Roman"/>
          <w:b/>
          <w:bCs/>
          <w:sz w:val="24"/>
          <w:szCs w:val="24"/>
        </w:rPr>
      </w:pPr>
      <w:r>
        <w:rPr>
          <w:rFonts w:ascii="Times New Roman" w:cs="Times New Roman" w:hAnsi="Times New Roman"/>
          <w:b/>
          <w:bCs/>
          <w:sz w:val="24"/>
          <w:szCs w:val="24"/>
        </w:rPr>
        <w:t>Endnotes</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Farhana, A. and Lappin, S.L., 2020. Biochemistry, lactate dehydrogenase.</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Feng, Y., Xiong, Y., Qiao, T., Li, X., Jia, L. and Han, Y., 2018. Lactate dehydrogenase A: A key player in carcinogenesis and potential target in cancer therapy. </w:t>
      </w:r>
      <w:r>
        <w:rPr>
          <w:rFonts w:ascii="Times New Roman" w:cs="Times New Roman" w:hAnsi="Times New Roman"/>
          <w:i/>
          <w:iCs/>
          <w:color w:val="222222"/>
          <w:sz w:val="24"/>
          <w:szCs w:val="24"/>
          <w:shd w:val="clear" w:color="auto" w:fill="ffffff"/>
        </w:rPr>
        <w:t>Cancer medicine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7</w:t>
      </w:r>
      <w:r>
        <w:rPr>
          <w:rFonts w:ascii="Times New Roman" w:cs="Times New Roman" w:hAnsi="Times New Roman"/>
          <w:color w:val="222222"/>
          <w:sz w:val="24"/>
          <w:szCs w:val="24"/>
          <w:shd w:val="clear" w:color="auto" w:fill="ffffff"/>
        </w:rPr>
        <w:t>(12), pp.6124-6136.</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Freyer, D. and Harms, C., 2017. Kinetic lactate dehydrogenase assay for detection of cell damage in primary neuronal cell cultures. </w:t>
      </w:r>
      <w:r>
        <w:rPr>
          <w:rFonts w:ascii="Times New Roman" w:cs="Times New Roman" w:hAnsi="Times New Roman"/>
          <w:i/>
          <w:iCs/>
          <w:color w:val="222222"/>
          <w:sz w:val="24"/>
          <w:szCs w:val="24"/>
          <w:shd w:val="clear" w:color="auto" w:fill="ffffff"/>
        </w:rPr>
        <w:t>Bio-protocol</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7</w:t>
      </w:r>
      <w:r>
        <w:rPr>
          <w:rFonts w:ascii="Times New Roman" w:cs="Times New Roman" w:hAnsi="Times New Roman"/>
          <w:color w:val="222222"/>
          <w:sz w:val="24"/>
          <w:szCs w:val="24"/>
          <w:shd w:val="clear" w:color="auto" w:fill="ffffff"/>
        </w:rPr>
        <w:t>(11), pp.e2308-e2308.</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Klein, R., Nagy, O., Tóthová, C. and Chovanová, F., 2020. Clinical and diagnostic significance of lactate dehydrogenase and its isoenzymes in animals. </w:t>
      </w:r>
      <w:r>
        <w:rPr>
          <w:rFonts w:ascii="Times New Roman" w:cs="Times New Roman" w:hAnsi="Times New Roman"/>
          <w:i/>
          <w:iCs/>
          <w:color w:val="222222"/>
          <w:sz w:val="24"/>
          <w:szCs w:val="24"/>
          <w:shd w:val="clear" w:color="auto" w:fill="ffffff"/>
        </w:rPr>
        <w:t>Veterinary Medicine International</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2020</w:t>
      </w:r>
      <w:r>
        <w:rPr>
          <w:rFonts w:ascii="Times New Roman" w:cs="Times New Roman" w:hAnsi="Times New Roman"/>
          <w:color w:val="222222"/>
          <w:sz w:val="24"/>
          <w:szCs w:val="24"/>
          <w:shd w:val="clear" w:color="auto" w:fill="ffffff"/>
        </w:rPr>
        <w:t>.</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Kumar, P., Nagarajan, A. and Uchil, P.D., 2018. Analysis of cell viability by the lactate dehydrogenase assay. </w:t>
      </w:r>
      <w:r>
        <w:rPr>
          <w:rFonts w:ascii="Times New Roman" w:cs="Times New Roman" w:hAnsi="Times New Roman"/>
          <w:i/>
          <w:iCs/>
          <w:color w:val="222222"/>
          <w:sz w:val="24"/>
          <w:szCs w:val="24"/>
          <w:shd w:val="clear" w:color="auto" w:fill="ffffff"/>
        </w:rPr>
        <w:t>Cold Spring Harbor Protocols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2018</w:t>
      </w:r>
      <w:r>
        <w:rPr>
          <w:rFonts w:ascii="Times New Roman" w:cs="Times New Roman" w:hAnsi="Times New Roman"/>
          <w:color w:val="222222"/>
          <w:sz w:val="24"/>
          <w:szCs w:val="24"/>
          <w:shd w:val="clear" w:color="auto" w:fill="ffffff"/>
        </w:rPr>
        <w:t>(6), pp.pdb-prot095497.</w:t>
      </w:r>
    </w:p>
    <w:p>
      <w:pPr>
        <w:pStyle w:val="style0"/>
        <w:spacing w:lineRule="auto" w:line="480"/>
        <w:contextualSpacing/>
        <w:rPr>
          <w:rFonts w:ascii="Times New Roman" w:cs="Times New Roman" w:hAnsi="Times New Roman"/>
          <w:sz w:val="24"/>
          <w:szCs w:val="24"/>
        </w:rPr>
      </w:pPr>
    </w:p>
    <w:sectPr>
      <w:headerReference w:type="default" r:id="rId7"/>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Math">
    <w:altName w:val="Cambria Math"/>
    <w:panose1 w:val="02040503050004030204"/>
    <w:charset w:val="00"/>
    <w:family w:val="roman"/>
    <w:pitch w:val="variable"/>
    <w:sig w:usb0="E00006FF" w:usb1="420024FF" w:usb2="02000000" w:usb3="00000000" w:csb0="0000019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29D2E09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character" w:styleId="style85">
    <w:name w:val="Hyperlink"/>
    <w:basedOn w:val="style65"/>
    <w:next w:val="style85"/>
    <w:uiPriority w:val="99"/>
    <w:rPr>
      <w:color w:val="0000ff"/>
      <w:u w:val="single"/>
    </w:rPr>
  </w:style>
  <w:style w:type="character" w:customStyle="1" w:styleId="style4098">
    <w:name w:val="mi"/>
    <w:basedOn w:val="style65"/>
    <w:next w:val="style4098"/>
  </w:style>
  <w:style w:type="character" w:customStyle="1" w:styleId="style4099">
    <w:name w:val="mo"/>
    <w:basedOn w:val="style65"/>
    <w:next w:val="style4099"/>
  </w:style>
  <w:style w:type="character" w:customStyle="1" w:styleId="style4100">
    <w:name w:val="mn"/>
    <w:basedOn w:val="style65"/>
    <w:next w:val="style4100"/>
  </w:style>
  <w:style w:type="character" w:styleId="style87">
    <w:name w:val="Strong"/>
    <w:basedOn w:val="style65"/>
    <w:next w:val="style87"/>
    <w:qFormat/>
    <w:uiPriority w:val="22"/>
    <w:rPr>
      <w:b/>
      <w:bCs/>
    </w:r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00b7f9a1-0851-44a5-96c2-378987994a36"/>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9d6e2fff-1c85-467d-baf3-2b6e2fcd4cc3"/>
    <w:basedOn w:val="style65"/>
    <w:next w:val="style4102"/>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2.png"/><Relationship Id="rId11" Type="http://schemas.openxmlformats.org/officeDocument/2006/relationships/theme" Target="theme/theme1.xml"/><Relationship Id="rId10" Type="http://schemas.openxmlformats.org/officeDocument/2006/relationships/settings" Target="settings.xml"/><Relationship Id="rId12" Type="http://schemas.openxmlformats.org/officeDocument/2006/relationships/customXml" Target="../customXml/item1.xml"/><Relationship Id="rId9" Type="http://schemas.openxmlformats.org/officeDocument/2006/relationships/fontTable" Target="fontTable.xml"/><Relationship Id="rId5" Type="http://schemas.openxmlformats.org/officeDocument/2006/relationships/chart" Target="charts/chart1.xml"/><Relationship Id="rId6" Type="http://schemas.openxmlformats.org/officeDocument/2006/relationships/chart" Target="charts/chart2.xml"/><Relationship Id="rId7" Type="http://schemas.openxmlformats.org/officeDocument/2006/relationships/header" Target="header1.xml"/><Relationship Id="rId8" Type="http://schemas.openxmlformats.org/officeDocument/2006/relationships/styles" Target="styles.xml"/></Relationships>
</file>

<file path=word/charts/_rels/chart1.xml.rels><?xml version="1.0" encoding="UTF-8"?>
<Relationships xmlns="http://schemas.openxmlformats.org/package/2006/relationships"><Relationship Id="rId1" Type="http://schemas.openxmlformats.org/officeDocument/2006/relationships/package" Target="../embeddings/Microsoft_Excel____1.xlsx"/><Relationship Id="rId2" Type="http://schemas.microsoft.com/office/2011/relationships/chartStyle" Target="style1.xml"/><Relationship Id="rId3" Type="http://schemas.microsoft.com/office/2011/relationships/chartColorStyle" Target="colors1.xml"/></Relationships>
</file>

<file path=word/charts/_rels/chart2.xml.rels><?xml version="1.0" encoding="UTF-8"?>
<Relationships xmlns="http://schemas.openxmlformats.org/package/2006/relationships"><Relationship Id="rId1" Type="http://schemas.openxmlformats.org/officeDocument/2006/relationships/package" Target="../embeddings/Microsoft_Excel____2.xlsx"/><Relationship Id="rId2" Type="http://schemas.microsoft.com/office/2011/relationships/chartStyle" Target="style2.xml"/><Relationship Id="rId3" Type="http://schemas.microsoft.com/office/2011/relationships/chartColorStyle" Target="colors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Absorbance vs time (S) </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scatterChart>
        <c:scatterStyle val="lineMarker"/>
        <c:varyColors val="0"/>
        <c:ser>
          <c:idx val="0"/>
          <c:order val="0"/>
          <c:tx>
            <c:strRef>
              <c:f>'experiment 1'!$C$29</c:f>
              <c:strCache>
                <c:ptCount val="1"/>
                <c:pt idx="0">
                  <c:v> T1 Ave </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c:spPr>
          </c:marker>
          <c:trendline>
            <c:spPr>
              <a:ln w="19050" cap="rnd">
                <a:solidFill>
                  <a:schemeClr val="accent1"/>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1'!$C$30:$C$42</c:f>
              <c:numCache>
                <c:formatCode>General</c:formatCode>
                <c:ptCount val="13"/>
                <c:pt idx="0">
                  <c:v>1.787</c:v>
                </c:pt>
                <c:pt idx="1">
                  <c:v>1.789</c:v>
                </c:pt>
                <c:pt idx="2">
                  <c:v>1.783</c:v>
                </c:pt>
                <c:pt idx="3">
                  <c:v>1.785</c:v>
                </c:pt>
                <c:pt idx="4">
                  <c:v>1.787</c:v>
                </c:pt>
                <c:pt idx="5">
                  <c:v>1.786</c:v>
                </c:pt>
                <c:pt idx="6">
                  <c:v>1.784</c:v>
                </c:pt>
                <c:pt idx="7">
                  <c:v>1.785</c:v>
                </c:pt>
                <c:pt idx="8">
                  <c:v>1.785</c:v>
                </c:pt>
                <c:pt idx="9">
                  <c:v>1.783</c:v>
                </c:pt>
                <c:pt idx="10">
                  <c:v>1.782</c:v>
                </c:pt>
                <c:pt idx="11">
                  <c:v>1.788</c:v>
                </c:pt>
                <c:pt idx="12">
                  <c:v>1.785</c:v>
                </c:pt>
              </c:numCache>
            </c:numRef>
          </c:yVal>
          <c:smooth val="0"/>
        </c:ser>
        <c:ser>
          <c:idx val="1"/>
          <c:order val="1"/>
          <c:tx>
            <c:strRef>
              <c:f>'experiment 1'!$D$29</c:f>
              <c:strCache>
                <c:ptCount val="1"/>
                <c:pt idx="0">
                  <c:v>T2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cap="rnd">
                <a:solidFill>
                  <a:schemeClr val="accent2"/>
                </a:solidFill>
                <a:round/>
              </a:ln>
              <a:effectLst>
                <a:outerShdw blurRad="57150" dist="19050" dir="5400000" algn="ctr" rotWithShape="0">
                  <a:srgbClr val="000000">
                    <a:alpha val="63000"/>
                  </a:srgbClr>
                </a:outerShdw>
              </a:effectLst>
            </c:spPr>
          </c:marker>
          <c:trendline>
            <c:spPr>
              <a:ln w="19050" cap="rnd">
                <a:solidFill>
                  <a:schemeClr val="accent2"/>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1'!$D$30:$D$42</c:f>
              <c:numCache>
                <c:formatCode>General</c:formatCode>
                <c:ptCount val="13"/>
                <c:pt idx="0">
                  <c:v>1.687</c:v>
                </c:pt>
                <c:pt idx="1">
                  <c:v>1.645</c:v>
                </c:pt>
                <c:pt idx="2">
                  <c:v>1.633</c:v>
                </c:pt>
                <c:pt idx="3">
                  <c:v>1.634</c:v>
                </c:pt>
                <c:pt idx="4">
                  <c:v>1.629</c:v>
                </c:pt>
                <c:pt idx="5">
                  <c:v>1.629</c:v>
                </c:pt>
                <c:pt idx="6">
                  <c:v>1.629</c:v>
                </c:pt>
                <c:pt idx="7">
                  <c:v>1.628</c:v>
                </c:pt>
                <c:pt idx="8">
                  <c:v>1.627</c:v>
                </c:pt>
                <c:pt idx="9">
                  <c:v>1.627</c:v>
                </c:pt>
                <c:pt idx="10">
                  <c:v>1.626</c:v>
                </c:pt>
                <c:pt idx="11">
                  <c:v>1.629</c:v>
                </c:pt>
                <c:pt idx="12">
                  <c:v>1.627</c:v>
                </c:pt>
              </c:numCache>
            </c:numRef>
          </c:yVal>
          <c:smooth val="0"/>
        </c:ser>
        <c:ser>
          <c:idx val="2"/>
          <c:order val="2"/>
          <c:tx>
            <c:strRef>
              <c:f>'experiment 1'!$E$29</c:f>
              <c:strCache>
                <c:ptCount val="1"/>
                <c:pt idx="0">
                  <c:v>T3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cap="rnd">
                <a:solidFill>
                  <a:schemeClr val="accent3"/>
                </a:solidFill>
                <a:round/>
              </a:ln>
              <a:effectLst>
                <a:outerShdw blurRad="57150" dist="19050" dir="5400000" algn="ctr" rotWithShape="0">
                  <a:srgbClr val="000000">
                    <a:alpha val="63000"/>
                  </a:srgbClr>
                </a:outerShdw>
              </a:effectLst>
            </c:spPr>
          </c:marker>
          <c:trendline>
            <c:spPr>
              <a:ln w="19050" cap="rnd">
                <a:solidFill>
                  <a:schemeClr val="accent3"/>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1'!$E$30:$E$42</c:f>
              <c:numCache>
                <c:formatCode>General</c:formatCode>
                <c:ptCount val="13"/>
                <c:pt idx="0">
                  <c:v>1.638</c:v>
                </c:pt>
                <c:pt idx="1">
                  <c:v>1.547</c:v>
                </c:pt>
                <c:pt idx="2">
                  <c:v>1.529</c:v>
                </c:pt>
                <c:pt idx="3">
                  <c:v>1.526</c:v>
                </c:pt>
                <c:pt idx="4">
                  <c:v>1.523</c:v>
                </c:pt>
                <c:pt idx="5">
                  <c:v>1.522</c:v>
                </c:pt>
                <c:pt idx="6">
                  <c:v>1.519</c:v>
                </c:pt>
                <c:pt idx="7">
                  <c:v>1.518</c:v>
                </c:pt>
                <c:pt idx="8">
                  <c:v>1.515</c:v>
                </c:pt>
                <c:pt idx="9">
                  <c:v>1.516</c:v>
                </c:pt>
                <c:pt idx="10">
                  <c:v>1.515</c:v>
                </c:pt>
                <c:pt idx="11">
                  <c:v>1.515</c:v>
                </c:pt>
                <c:pt idx="12">
                  <c:v>1.514</c:v>
                </c:pt>
              </c:numCache>
            </c:numRef>
          </c:yVal>
          <c:smooth val="0"/>
        </c:ser>
        <c:ser>
          <c:idx val="3"/>
          <c:order val="3"/>
          <c:tx>
            <c:strRef>
              <c:f>'experiment 1'!$F$29</c:f>
              <c:strCache>
                <c:ptCount val="1"/>
                <c:pt idx="0">
                  <c:v>T4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cap="rnd">
                <a:solidFill>
                  <a:schemeClr val="accent4"/>
                </a:solidFill>
                <a:round/>
              </a:ln>
              <a:effectLst>
                <a:outerShdw blurRad="57150" dist="19050" dir="5400000" algn="ctr" rotWithShape="0">
                  <a:srgbClr val="000000">
                    <a:alpha val="63000"/>
                  </a:srgbClr>
                </a:outerShdw>
              </a:effectLst>
            </c:spPr>
          </c:marker>
          <c:trendline>
            <c:spPr>
              <a:ln w="19050" cap="rnd">
                <a:solidFill>
                  <a:schemeClr val="accent4"/>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1'!$F$30:$F$42</c:f>
              <c:numCache>
                <c:formatCode>General</c:formatCode>
                <c:ptCount val="13"/>
                <c:pt idx="0">
                  <c:v>1.609</c:v>
                </c:pt>
                <c:pt idx="1">
                  <c:v>1.406</c:v>
                </c:pt>
                <c:pt idx="2">
                  <c:v>1.332</c:v>
                </c:pt>
                <c:pt idx="3">
                  <c:v>1.308</c:v>
                </c:pt>
                <c:pt idx="4">
                  <c:v>1.297</c:v>
                </c:pt>
                <c:pt idx="5">
                  <c:v>1.291</c:v>
                </c:pt>
                <c:pt idx="6">
                  <c:v>1.286</c:v>
                </c:pt>
                <c:pt idx="7">
                  <c:v>1.282</c:v>
                </c:pt>
                <c:pt idx="8">
                  <c:v>1.281</c:v>
                </c:pt>
                <c:pt idx="9">
                  <c:v>1.28</c:v>
                </c:pt>
                <c:pt idx="10">
                  <c:v>1.279</c:v>
                </c:pt>
                <c:pt idx="11">
                  <c:v>1.278</c:v>
                </c:pt>
                <c:pt idx="12">
                  <c:v>1.278</c:v>
                </c:pt>
              </c:numCache>
            </c:numRef>
          </c:yVal>
          <c:smooth val="0"/>
        </c:ser>
        <c:ser>
          <c:idx val="4"/>
          <c:order val="4"/>
          <c:tx>
            <c:strRef>
              <c:f>'experiment 1'!$G$29</c:f>
              <c:strCache>
                <c:ptCount val="1"/>
                <c:pt idx="0">
                  <c:v>T5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cap="rnd">
                <a:solidFill>
                  <a:schemeClr val="accent5"/>
                </a:solidFill>
                <a:round/>
              </a:ln>
              <a:effectLst>
                <a:outerShdw blurRad="57150" dist="19050" dir="5400000" algn="ctr" rotWithShape="0">
                  <a:srgbClr val="000000">
                    <a:alpha val="63000"/>
                  </a:srgbClr>
                </a:outerShdw>
              </a:effectLst>
            </c:spPr>
          </c:marker>
          <c:trendline>
            <c:spPr>
              <a:ln w="19050" cap="rnd">
                <a:solidFill>
                  <a:schemeClr val="accent5"/>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1'!$G$30:$G$42</c:f>
              <c:numCache>
                <c:formatCode>General</c:formatCode>
                <c:ptCount val="13"/>
                <c:pt idx="0">
                  <c:v>1.581</c:v>
                </c:pt>
                <c:pt idx="1">
                  <c:v>1.291</c:v>
                </c:pt>
                <c:pt idx="2">
                  <c:v>1.103</c:v>
                </c:pt>
                <c:pt idx="3">
                  <c:v>0.954</c:v>
                </c:pt>
                <c:pt idx="4">
                  <c:v>0.868</c:v>
                </c:pt>
                <c:pt idx="5">
                  <c:v>0.828</c:v>
                </c:pt>
                <c:pt idx="6">
                  <c:v>0.813</c:v>
                </c:pt>
                <c:pt idx="7">
                  <c:v>0.804</c:v>
                </c:pt>
                <c:pt idx="8">
                  <c:v>0.799</c:v>
                </c:pt>
                <c:pt idx="9">
                  <c:v>0.794</c:v>
                </c:pt>
                <c:pt idx="10">
                  <c:v>0.79</c:v>
                </c:pt>
                <c:pt idx="11">
                  <c:v>0.787</c:v>
                </c:pt>
                <c:pt idx="12">
                  <c:v>0.786</c:v>
                </c:pt>
              </c:numCache>
            </c:numRef>
          </c:yVal>
          <c:smooth val="0"/>
        </c:ser>
        <c:ser>
          <c:idx val="5"/>
          <c:order val="5"/>
          <c:tx>
            <c:strRef>
              <c:f>'experiment 1'!$H$29</c:f>
              <c:strCache>
                <c:ptCount val="1"/>
                <c:pt idx="0">
                  <c:v>T6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9525" cap="rnd">
                <a:solidFill>
                  <a:schemeClr val="accent6"/>
                </a:solidFill>
                <a:round/>
              </a:ln>
              <a:effectLst>
                <a:outerShdw blurRad="57150" dist="19050" dir="5400000" algn="ctr" rotWithShape="0">
                  <a:srgbClr val="000000">
                    <a:alpha val="63000"/>
                  </a:srgbClr>
                </a:outerShdw>
              </a:effectLst>
            </c:spPr>
          </c:marker>
          <c:trendline>
            <c:spPr>
              <a:ln w="19050" cap="rnd">
                <a:solidFill>
                  <a:schemeClr val="accent6"/>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1'!$H$30:$H$42</c:f>
              <c:numCache>
                <c:formatCode>General</c:formatCode>
                <c:ptCount val="13"/>
                <c:pt idx="0">
                  <c:v>1.579</c:v>
                </c:pt>
                <c:pt idx="1">
                  <c:v>1.285</c:v>
                </c:pt>
                <c:pt idx="2">
                  <c:v>1.082</c:v>
                </c:pt>
                <c:pt idx="3">
                  <c:v>0.877</c:v>
                </c:pt>
                <c:pt idx="4">
                  <c:v>0.669</c:v>
                </c:pt>
                <c:pt idx="5">
                  <c:v>0.501</c:v>
                </c:pt>
                <c:pt idx="6">
                  <c:v>0.353</c:v>
                </c:pt>
                <c:pt idx="7">
                  <c:v>0.231</c:v>
                </c:pt>
                <c:pt idx="8">
                  <c:v>0.141</c:v>
                </c:pt>
                <c:pt idx="9">
                  <c:v>0.087</c:v>
                </c:pt>
                <c:pt idx="10">
                  <c:v>0.06</c:v>
                </c:pt>
                <c:pt idx="11">
                  <c:v>0.047</c:v>
                </c:pt>
                <c:pt idx="12">
                  <c:v>0.042</c:v>
                </c:pt>
              </c:numCache>
            </c:numRef>
          </c:yVal>
          <c:smooth val="0"/>
        </c:ser>
        <c:ser>
          <c:idx val="6"/>
          <c:order val="6"/>
          <c:tx>
            <c:strRef>
              <c:f>'experiment 1'!$I$29</c:f>
              <c:strCache>
                <c:ptCount val="1"/>
                <c:pt idx="0">
                  <c:v>T7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w="9525" cap="rnd">
                <a:solidFill>
                  <a:schemeClr val="accent1">
                    <a:lumMod val="60000"/>
                  </a:schemeClr>
                </a:solidFill>
                <a:round/>
              </a:ln>
              <a:effectLst>
                <a:outerShdw blurRad="57150" dist="19050" dir="5400000" algn="ctr" rotWithShape="0">
                  <a:srgbClr val="000000">
                    <a:alpha val="63000"/>
                  </a:srgbClr>
                </a:outerShdw>
              </a:effectLst>
            </c:spPr>
          </c:marker>
          <c:trendline>
            <c:spPr>
              <a:ln w="19050" cap="rnd">
                <a:solidFill>
                  <a:schemeClr val="accent1">
                    <a:lumMod val="60000"/>
                  </a:schemeClr>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1'!$I$30:$I$42</c:f>
              <c:numCache>
                <c:formatCode>General</c:formatCode>
                <c:ptCount val="13"/>
                <c:pt idx="0">
                  <c:v>1.618</c:v>
                </c:pt>
                <c:pt idx="1">
                  <c:v>1.372</c:v>
                </c:pt>
                <c:pt idx="2">
                  <c:v>1.2</c:v>
                </c:pt>
                <c:pt idx="3">
                  <c:v>1.017</c:v>
                </c:pt>
                <c:pt idx="4">
                  <c:v>0.855</c:v>
                </c:pt>
                <c:pt idx="5">
                  <c:v>0.705</c:v>
                </c:pt>
                <c:pt idx="6">
                  <c:v>0.571</c:v>
                </c:pt>
                <c:pt idx="7">
                  <c:v>0.448</c:v>
                </c:pt>
                <c:pt idx="8">
                  <c:v>0.34</c:v>
                </c:pt>
                <c:pt idx="9">
                  <c:v>0.254</c:v>
                </c:pt>
                <c:pt idx="10">
                  <c:v>0.19</c:v>
                </c:pt>
                <c:pt idx="11">
                  <c:v>0.145</c:v>
                </c:pt>
                <c:pt idx="12">
                  <c:v>0.115</c:v>
                </c:pt>
              </c:numCache>
            </c:numRef>
          </c:yVal>
          <c:smooth val="0"/>
        </c:ser>
        <c:dLbls>
          <c:showLegendKey val="0"/>
          <c:showVal val="0"/>
          <c:showCatName val="0"/>
          <c:showSerName val="0"/>
          <c:showPercent val="0"/>
          <c:showBubbleSize val="0"/>
        </c:dLbls>
        <c:axId val="424439416"/>
        <c:axId val="424437448"/>
      </c:scatterChart>
      <c:valAx>
        <c:axId val="424439416"/>
        <c:scaling>
          <c:orientation val="minMax"/>
        </c:scaling>
        <c:delete val="0"/>
        <c:axPos val="b"/>
        <c:majorGridlines>
          <c:spPr>
            <a:ln w="9525">
              <a:solidFill>
                <a:schemeClr val="lt1">
                  <a:lumMod val="95000"/>
                  <a:alpha val="10000"/>
                </a:schemeClr>
              </a:solidFill>
              <a:round/>
            </a:ln>
            <a:effectLst/>
          </c:spPr>
        </c:majorGridlines>
        <c:title>
          <c:tx>
            <c:rich>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Time (SECONDS)</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24437448"/>
        <c:crosses val="autoZero"/>
        <c:crossBetween val="midCat"/>
      </c:valAx>
      <c:valAx>
        <c:axId val="424437448"/>
        <c:scaling>
          <c:orientation val="minMax"/>
        </c:scaling>
        <c:delete val="0"/>
        <c:axPos val="l"/>
        <c:majorGridlines>
          <c:spPr>
            <a:ln w="9525">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absorbance</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2443941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rotWithShape="1">
      <a:gsLst>
        <a:gs pos="0">
          <a:schemeClr val="dk1">
            <a:lumMod val="65000"/>
            <a:lumOff val="35000"/>
          </a:schemeClr>
        </a:gs>
        <a:gs pos="100000">
          <a:schemeClr val="dk1">
            <a:lumMod val="85000"/>
            <a:lumOff val="15000"/>
          </a:schemeClr>
        </a:gs>
      </a:gsLst>
      <a:path path="circle">
        <a:fillToRect l="50000" t="50000" r="50000" b="50000"/>
      </a:path>
    </a:gradFill>
    <a:ln>
      <a:noFill/>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absorbance vs time (S)</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manualLayout>
          <c:layoutTarget val="inner"/>
          <c:xMode val="edge"/>
          <c:yMode val="edge"/>
          <c:x val="0.06780059068126795"/>
          <c:y val="0.10399487731915619"/>
          <c:w val="0.9074453729217141"/>
          <c:h val="0.6128684048441335"/>
        </c:manualLayout>
      </c:layout>
      <c:scatterChart>
        <c:scatterStyle val="lineMarker"/>
        <c:varyColors val="0"/>
        <c:ser>
          <c:idx val="0"/>
          <c:order val="0"/>
          <c:tx>
            <c:strRef>
              <c:f>'experiment 2'!$C$26</c:f>
              <c:strCache>
                <c:ptCount val="1"/>
                <c:pt idx="0">
                  <c:v>T1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c:spPr>
          </c:marker>
          <c:trendline>
            <c:spPr>
              <a:ln w="19050" cap="rnd">
                <a:solidFill>
                  <a:schemeClr val="accent1"/>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2'!$C$27:$C$39</c:f>
              <c:numCache>
                <c:formatCode>General</c:formatCode>
                <c:ptCount val="13"/>
                <c:pt idx="0">
                  <c:v>1.729</c:v>
                </c:pt>
                <c:pt idx="1">
                  <c:v>1.726</c:v>
                </c:pt>
                <c:pt idx="2">
                  <c:v>1.728</c:v>
                </c:pt>
                <c:pt idx="3">
                  <c:v>1.724</c:v>
                </c:pt>
                <c:pt idx="4">
                  <c:v>1.724</c:v>
                </c:pt>
                <c:pt idx="5">
                  <c:v>1.724</c:v>
                </c:pt>
                <c:pt idx="6">
                  <c:v>1.729</c:v>
                </c:pt>
                <c:pt idx="7">
                  <c:v>1.725</c:v>
                </c:pt>
                <c:pt idx="8">
                  <c:v>1.726</c:v>
                </c:pt>
                <c:pt idx="9">
                  <c:v>1.726</c:v>
                </c:pt>
                <c:pt idx="10">
                  <c:v>1.721</c:v>
                </c:pt>
                <c:pt idx="11">
                  <c:v>1.726</c:v>
                </c:pt>
                <c:pt idx="12">
                  <c:v>1.725</c:v>
                </c:pt>
              </c:numCache>
            </c:numRef>
          </c:yVal>
          <c:smooth val="0"/>
        </c:ser>
        <c:ser>
          <c:idx val="1"/>
          <c:order val="1"/>
          <c:tx>
            <c:strRef>
              <c:f>'experiment 2'!$D$26</c:f>
              <c:strCache>
                <c:ptCount val="1"/>
                <c:pt idx="0">
                  <c:v>T2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cap="rnd">
                <a:solidFill>
                  <a:schemeClr val="accent2"/>
                </a:solidFill>
                <a:round/>
              </a:ln>
              <a:effectLst>
                <a:outerShdw blurRad="57150" dist="19050" dir="5400000" algn="ctr" rotWithShape="0">
                  <a:srgbClr val="000000">
                    <a:alpha val="63000"/>
                  </a:srgbClr>
                </a:outerShdw>
              </a:effectLst>
            </c:spPr>
          </c:marker>
          <c:trendline>
            <c:spPr>
              <a:ln w="19050" cap="rnd">
                <a:solidFill>
                  <a:schemeClr val="accent2"/>
                </a:solidFill>
                <a:prstDash val="sysDash"/>
              </a:ln>
              <a:effectLst/>
            </c:spPr>
            <c:trendlineType val="log"/>
            <c:dispRSqr val="0"/>
            <c:dispEq val="0"/>
          </c:trendline>
          <c:trendline>
            <c:spPr>
              <a:ln w="19050" cap="rnd">
                <a:solidFill>
                  <a:schemeClr val="accent2"/>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2'!$D$27:$D$39</c:f>
              <c:numCache>
                <c:formatCode>General</c:formatCode>
                <c:ptCount val="13"/>
                <c:pt idx="0">
                  <c:v>1.723</c:v>
                </c:pt>
                <c:pt idx="1">
                  <c:v>1.677</c:v>
                </c:pt>
                <c:pt idx="2">
                  <c:v>1.656</c:v>
                </c:pt>
                <c:pt idx="3">
                  <c:v>1.645</c:v>
                </c:pt>
                <c:pt idx="4">
                  <c:v>1.64</c:v>
                </c:pt>
                <c:pt idx="5">
                  <c:v>1.637</c:v>
                </c:pt>
                <c:pt idx="6">
                  <c:v>1.637</c:v>
                </c:pt>
                <c:pt idx="7">
                  <c:v>1.634</c:v>
                </c:pt>
                <c:pt idx="8">
                  <c:v>1.632</c:v>
                </c:pt>
                <c:pt idx="9">
                  <c:v>1.634</c:v>
                </c:pt>
                <c:pt idx="10">
                  <c:v>1.63</c:v>
                </c:pt>
                <c:pt idx="11">
                  <c:v>1.631</c:v>
                </c:pt>
                <c:pt idx="12">
                  <c:v>1.631</c:v>
                </c:pt>
              </c:numCache>
            </c:numRef>
          </c:yVal>
          <c:smooth val="0"/>
        </c:ser>
        <c:ser>
          <c:idx val="2"/>
          <c:order val="2"/>
          <c:tx>
            <c:strRef>
              <c:f>'experiment 2'!$E$26</c:f>
              <c:strCache>
                <c:ptCount val="1"/>
                <c:pt idx="0">
                  <c:v>T3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cap="rnd">
                <a:solidFill>
                  <a:schemeClr val="accent3"/>
                </a:solidFill>
                <a:round/>
              </a:ln>
              <a:effectLst>
                <a:outerShdw blurRad="57150" dist="19050" dir="5400000" algn="ctr" rotWithShape="0">
                  <a:srgbClr val="000000">
                    <a:alpha val="63000"/>
                  </a:srgbClr>
                </a:outerShdw>
              </a:effectLst>
            </c:spPr>
          </c:marker>
          <c:trendline>
            <c:spPr>
              <a:ln w="19050" cap="rnd">
                <a:solidFill>
                  <a:schemeClr val="accent3"/>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2'!$E$27:$E$39</c:f>
              <c:numCache>
                <c:formatCode>General</c:formatCode>
                <c:ptCount val="13"/>
                <c:pt idx="0">
                  <c:v>1.714</c:v>
                </c:pt>
                <c:pt idx="1">
                  <c:v>1.643</c:v>
                </c:pt>
                <c:pt idx="2">
                  <c:v>1.599</c:v>
                </c:pt>
                <c:pt idx="3">
                  <c:v>1.564</c:v>
                </c:pt>
                <c:pt idx="4">
                  <c:v>1.546</c:v>
                </c:pt>
                <c:pt idx="5">
                  <c:v>1.535</c:v>
                </c:pt>
                <c:pt idx="6">
                  <c:v>1.527</c:v>
                </c:pt>
                <c:pt idx="7">
                  <c:v>1.524</c:v>
                </c:pt>
                <c:pt idx="8">
                  <c:v>1.524</c:v>
                </c:pt>
                <c:pt idx="9">
                  <c:v>1.521</c:v>
                </c:pt>
                <c:pt idx="10">
                  <c:v>1.521</c:v>
                </c:pt>
                <c:pt idx="11">
                  <c:v>1.521</c:v>
                </c:pt>
                <c:pt idx="12">
                  <c:v>1.52</c:v>
                </c:pt>
              </c:numCache>
            </c:numRef>
          </c:yVal>
          <c:smooth val="0"/>
        </c:ser>
        <c:ser>
          <c:idx val="3"/>
          <c:order val="3"/>
          <c:tx>
            <c:strRef>
              <c:f>'experiment 2'!$F$26</c:f>
              <c:strCache>
                <c:ptCount val="1"/>
                <c:pt idx="0">
                  <c:v>T4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cap="rnd">
                <a:solidFill>
                  <a:schemeClr val="accent4"/>
                </a:solidFill>
                <a:round/>
              </a:ln>
              <a:effectLst>
                <a:outerShdw blurRad="57150" dist="19050" dir="5400000" algn="ctr" rotWithShape="0">
                  <a:srgbClr val="000000">
                    <a:alpha val="63000"/>
                  </a:srgbClr>
                </a:outerShdw>
              </a:effectLst>
            </c:spPr>
          </c:marker>
          <c:trendline>
            <c:spPr>
              <a:ln w="19050" cap="rnd">
                <a:solidFill>
                  <a:schemeClr val="accent4"/>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2'!$F$27:$F$39</c:f>
              <c:numCache>
                <c:formatCode>General</c:formatCode>
                <c:ptCount val="13"/>
                <c:pt idx="0">
                  <c:v>1.708</c:v>
                </c:pt>
                <c:pt idx="1">
                  <c:v>1.621</c:v>
                </c:pt>
                <c:pt idx="2">
                  <c:v>1.564</c:v>
                </c:pt>
                <c:pt idx="3">
                  <c:v>1.508</c:v>
                </c:pt>
                <c:pt idx="4">
                  <c:v>1.452</c:v>
                </c:pt>
                <c:pt idx="5">
                  <c:v>1.403</c:v>
                </c:pt>
                <c:pt idx="6">
                  <c:v>1.363</c:v>
                </c:pt>
                <c:pt idx="7">
                  <c:v>1.333</c:v>
                </c:pt>
                <c:pt idx="8">
                  <c:v>1.317</c:v>
                </c:pt>
                <c:pt idx="9">
                  <c:v>1.311</c:v>
                </c:pt>
                <c:pt idx="10">
                  <c:v>1.305</c:v>
                </c:pt>
                <c:pt idx="11">
                  <c:v>1.303</c:v>
                </c:pt>
                <c:pt idx="12">
                  <c:v>1.3</c:v>
                </c:pt>
              </c:numCache>
            </c:numRef>
          </c:yVal>
          <c:smooth val="0"/>
        </c:ser>
        <c:ser>
          <c:idx val="4"/>
          <c:order val="4"/>
          <c:tx>
            <c:strRef>
              <c:f>'experiment 2'!$G$26</c:f>
              <c:strCache>
                <c:ptCount val="1"/>
                <c:pt idx="0">
                  <c:v>T5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cap="rnd">
                <a:solidFill>
                  <a:schemeClr val="accent5"/>
                </a:solidFill>
                <a:round/>
              </a:ln>
              <a:effectLst>
                <a:outerShdw blurRad="57150" dist="19050" dir="5400000" algn="ctr" rotWithShape="0">
                  <a:srgbClr val="000000">
                    <a:alpha val="63000"/>
                  </a:srgbClr>
                </a:outerShdw>
              </a:effectLst>
            </c:spPr>
          </c:marker>
          <c:trendline>
            <c:spPr>
              <a:ln w="19050" cap="rnd">
                <a:solidFill>
                  <a:schemeClr val="accent5"/>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2'!$G$27:$G$39</c:f>
              <c:numCache>
                <c:formatCode>General</c:formatCode>
                <c:ptCount val="13"/>
                <c:pt idx="0">
                  <c:v>1.703</c:v>
                </c:pt>
                <c:pt idx="1">
                  <c:v>1.607</c:v>
                </c:pt>
                <c:pt idx="2">
                  <c:v>1.539</c:v>
                </c:pt>
                <c:pt idx="3">
                  <c:v>1.466</c:v>
                </c:pt>
                <c:pt idx="4">
                  <c:v>1.398</c:v>
                </c:pt>
                <c:pt idx="5">
                  <c:v>1.332</c:v>
                </c:pt>
                <c:pt idx="6">
                  <c:v>1.257</c:v>
                </c:pt>
                <c:pt idx="7">
                  <c:v>1.187</c:v>
                </c:pt>
                <c:pt idx="8">
                  <c:v>1.118</c:v>
                </c:pt>
                <c:pt idx="9">
                  <c:v>1.051</c:v>
                </c:pt>
                <c:pt idx="10">
                  <c:v>0.992</c:v>
                </c:pt>
                <c:pt idx="11">
                  <c:v>0.937</c:v>
                </c:pt>
                <c:pt idx="12">
                  <c:v>0.892</c:v>
                </c:pt>
              </c:numCache>
            </c:numRef>
          </c:yVal>
          <c:smooth val="0"/>
        </c:ser>
        <c:ser>
          <c:idx val="5"/>
          <c:order val="5"/>
          <c:tx>
            <c:strRef>
              <c:f>'experiment 2'!$H$26</c:f>
              <c:strCache>
                <c:ptCount val="1"/>
                <c:pt idx="0">
                  <c:v>T6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9525" cap="rnd">
                <a:solidFill>
                  <a:schemeClr val="accent6"/>
                </a:solidFill>
                <a:round/>
              </a:ln>
              <a:effectLst>
                <a:outerShdw blurRad="57150" dist="19050" dir="5400000" algn="ctr" rotWithShape="0">
                  <a:srgbClr val="000000">
                    <a:alpha val="63000"/>
                  </a:srgbClr>
                </a:outerShdw>
              </a:effectLst>
            </c:spPr>
          </c:marker>
          <c:trendline>
            <c:spPr>
              <a:ln w="19050" cap="rnd">
                <a:solidFill>
                  <a:schemeClr val="accent6"/>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2'!$H$27:$H$39</c:f>
              <c:numCache>
                <c:formatCode>General</c:formatCode>
                <c:ptCount val="13"/>
                <c:pt idx="0">
                  <c:v>1.713</c:v>
                </c:pt>
                <c:pt idx="1">
                  <c:v>1.613</c:v>
                </c:pt>
                <c:pt idx="2">
                  <c:v>1.547</c:v>
                </c:pt>
                <c:pt idx="3">
                  <c:v>1.473</c:v>
                </c:pt>
                <c:pt idx="4">
                  <c:v>1.396</c:v>
                </c:pt>
                <c:pt idx="5">
                  <c:v>1.317</c:v>
                </c:pt>
                <c:pt idx="6">
                  <c:v>1.235</c:v>
                </c:pt>
                <c:pt idx="7">
                  <c:v>1.153</c:v>
                </c:pt>
                <c:pt idx="8">
                  <c:v>1.071</c:v>
                </c:pt>
                <c:pt idx="9">
                  <c:v>0.992</c:v>
                </c:pt>
                <c:pt idx="10">
                  <c:v>0.917</c:v>
                </c:pt>
                <c:pt idx="11">
                  <c:v>0.848</c:v>
                </c:pt>
                <c:pt idx="12">
                  <c:v>0.783</c:v>
                </c:pt>
              </c:numCache>
            </c:numRef>
          </c:yVal>
          <c:smooth val="0"/>
        </c:ser>
        <c:ser>
          <c:idx val="6"/>
          <c:order val="6"/>
          <c:tx>
            <c:strRef>
              <c:f>'experiment 2'!$I$26</c:f>
              <c:strCache>
                <c:ptCount val="1"/>
                <c:pt idx="0">
                  <c:v>T7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w="9525" cap="rnd">
                <a:solidFill>
                  <a:schemeClr val="accent1">
                    <a:lumMod val="60000"/>
                  </a:schemeClr>
                </a:solidFill>
                <a:round/>
              </a:ln>
              <a:effectLst>
                <a:outerShdw blurRad="57150" dist="19050" dir="5400000" algn="ctr" rotWithShape="0">
                  <a:srgbClr val="000000">
                    <a:alpha val="63000"/>
                  </a:srgbClr>
                </a:outerShdw>
              </a:effectLst>
            </c:spPr>
          </c:marker>
          <c:trendline>
            <c:spPr>
              <a:ln w="19050" cap="rnd">
                <a:solidFill>
                  <a:schemeClr val="accent1">
                    <a:lumMod val="60000"/>
                  </a:schemeClr>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2'!$I$27:$I$39</c:f>
              <c:numCache>
                <c:formatCode>General</c:formatCode>
                <c:ptCount val="13"/>
                <c:pt idx="0">
                  <c:v>1.693</c:v>
                </c:pt>
                <c:pt idx="1">
                  <c:v>1.601</c:v>
                </c:pt>
                <c:pt idx="2">
                  <c:v>1.533</c:v>
                </c:pt>
                <c:pt idx="3">
                  <c:v>1.459</c:v>
                </c:pt>
                <c:pt idx="4">
                  <c:v>1.391</c:v>
                </c:pt>
                <c:pt idx="5">
                  <c:v>1.316</c:v>
                </c:pt>
                <c:pt idx="6">
                  <c:v>1.24</c:v>
                </c:pt>
                <c:pt idx="7">
                  <c:v>1.167</c:v>
                </c:pt>
                <c:pt idx="8">
                  <c:v>1.093</c:v>
                </c:pt>
                <c:pt idx="9">
                  <c:v>1.015</c:v>
                </c:pt>
                <c:pt idx="10">
                  <c:v>0.936</c:v>
                </c:pt>
                <c:pt idx="11">
                  <c:v>0.865</c:v>
                </c:pt>
                <c:pt idx="12">
                  <c:v>0.797</c:v>
                </c:pt>
              </c:numCache>
            </c:numRef>
          </c:yVal>
          <c:smooth val="0"/>
        </c:ser>
        <c:dLbls>
          <c:showLegendKey val="0"/>
          <c:showVal val="0"/>
          <c:showCatName val="0"/>
          <c:showSerName val="0"/>
          <c:showPercent val="0"/>
          <c:showBubbleSize val="0"/>
        </c:dLbls>
        <c:axId val="482553224"/>
        <c:axId val="482547320"/>
      </c:scatterChart>
      <c:valAx>
        <c:axId val="482553224"/>
        <c:scaling>
          <c:orientation val="minMax"/>
        </c:scaling>
        <c:delete val="0"/>
        <c:axPos val="b"/>
        <c:majorGridlines>
          <c:spPr>
            <a:ln w="9525">
              <a:solidFill>
                <a:schemeClr val="lt1">
                  <a:lumMod val="95000"/>
                  <a:alpha val="10000"/>
                </a:schemeClr>
              </a:solidFill>
              <a:round/>
            </a:ln>
            <a:effectLst/>
          </c:spPr>
        </c:majorGridlines>
        <c:title>
          <c:tx>
            <c:rich>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time (SECONDS)</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82547320"/>
        <c:crosses val="autoZero"/>
        <c:crossBetween val="midCat"/>
      </c:valAx>
      <c:valAx>
        <c:axId val="482547320"/>
        <c:scaling>
          <c:orientation val="minMax"/>
        </c:scaling>
        <c:delete val="0"/>
        <c:axPos val="l"/>
        <c:majorGridlines>
          <c:spPr>
            <a:ln w="9525">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absorbance</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8255322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rotWithShape="1">
      <a:gsLst>
        <a:gs pos="0">
          <a:schemeClr val="dk1">
            <a:lumMod val="65000"/>
            <a:lumOff val="35000"/>
          </a:schemeClr>
        </a:gs>
        <a:gs pos="100000">
          <a:schemeClr val="dk1">
            <a:lumMod val="85000"/>
            <a:lumOff val="15000"/>
          </a:schemeClr>
        </a:gs>
      </a:gsLst>
      <a:path path="circle">
        <a:fillToRect l="50000" t="50000" r="50000" b="50000"/>
      </a:path>
    </a:gradFill>
    <a:ln>
      <a:noFill/>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8">
  <cs:axisTitle>
    <cs:lnRef idx="0"/>
    <cs:fillRef idx="0"/>
    <cs:effectRef idx="0"/>
    <cs:fontRef idx="minor">
      <a:schemeClr val="lt1">
        <a:lumMod val="75000"/>
      </a:schemeClr>
    </cs:fontRef>
    <cs:defRPr sz="900" b="1" kern="1200" cap="all"/>
  </cs:axisTitle>
  <cs:categoryAxis>
    <cs:lnRef idx="0"/>
    <cs:fillRef idx="0"/>
    <cs:effectRef idx="0"/>
    <cs:fontRef idx="minor">
      <a:schemeClr val="lt1">
        <a:lumMod val="75000"/>
      </a:schemeClr>
    </cs:fontRef>
    <cs:spPr>
      <a:ln w="9525">
        <a:solidFill>
          <a:schemeClr val="lt1">
            <a:lumMod val="50000"/>
          </a:schemeClr>
        </a:solidFill>
      </a:ln>
    </cs:spPr>
    <cs:defRPr sz="900" kern="1200"/>
  </cs:categoryAxis>
  <cs:chartArea>
    <cs:lnRef idx="0"/>
    <cs:fillRef idx="0"/>
    <cs:effectRef idx="0"/>
    <cs:fontRef idx="minor">
      <a:schemeClr val="dk1"/>
    </cs:fontRef>
    <cs:spPr>
      <a:gradFill rotWithShape="1">
        <a:gsLst>
          <a:gs pos="0">
            <a:schemeClr val="dk1">
              <a:lumMod val="65000"/>
              <a:lumOff val="35000"/>
            </a:schemeClr>
          </a:gs>
          <a:gs pos="100000">
            <a:schemeClr val="dk1">
              <a:lumMod val="85000"/>
              <a:lumOff val="15000"/>
            </a:schemeClr>
          </a:gs>
        </a:gsLst>
        <a:path path="circle">
          <a:fillToRect l="50000" t="50000" r="50000" b="50000"/>
        </a:path>
      </a:gradFill>
    </cs:spPr>
    <cs:defRPr sz="10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9525" cap="rnd">
        <a:solidFill>
          <a:schemeClr val="phClr"/>
        </a:solidFill>
        <a:round/>
      </a:ln>
    </cs:spPr>
  </cs:dataPointLine>
  <cs:dataPointMarker>
    <cs:lnRef idx="0">
      <cs:styleClr val="auto"/>
    </cs:lnRef>
    <cs:fillRef idx="3">
      <cs:styleClr val="auto"/>
    </cs:fillRef>
    <cs:effectRef idx="3"/>
    <cs:fontRef idx="minor">
      <a:schemeClr val="tx1"/>
    </cs:fontRef>
    <cs:spPr>
      <a:ln w="9525" cap="rnd">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spPr>
      <a:ln w="9525">
        <a:solidFill>
          <a:schemeClr val="lt1">
            <a:lumMod val="50000"/>
          </a:schemeClr>
        </a:solidFill>
      </a:ln>
    </cs:spPr>
    <cs:defRPr sz="900" kern="1200"/>
  </cs:seriesAxis>
  <cs:seriesLine>
    <cs:lnRef idx="0"/>
    <cs:fillRef idx="0"/>
    <cs:effectRef idx="0"/>
    <cs:fontRef idx="minor">
      <a:schemeClr val="lt1"/>
    </cs:fontRef>
    <cs:spPr>
      <a:ln w="9525">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75000"/>
      </a:schemeClr>
    </cs:fontRef>
    <cs:spPr>
      <a:ln w="9525">
        <a:solidFill>
          <a:schemeClr val="lt1">
            <a:lumMod val="50000"/>
          </a:schemeClr>
        </a:solidFill>
      </a:ln>
    </cs:spPr>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48">
  <cs:axisTitle>
    <cs:lnRef idx="0"/>
    <cs:fillRef idx="0"/>
    <cs:effectRef idx="0"/>
    <cs:fontRef idx="minor">
      <a:schemeClr val="lt1">
        <a:lumMod val="75000"/>
      </a:schemeClr>
    </cs:fontRef>
    <cs:defRPr sz="900" b="1" kern="1200" cap="all"/>
  </cs:axisTitle>
  <cs:categoryAxis>
    <cs:lnRef idx="0"/>
    <cs:fillRef idx="0"/>
    <cs:effectRef idx="0"/>
    <cs:fontRef idx="minor">
      <a:schemeClr val="lt1">
        <a:lumMod val="75000"/>
      </a:schemeClr>
    </cs:fontRef>
    <cs:spPr>
      <a:ln w="9525">
        <a:solidFill>
          <a:schemeClr val="lt1">
            <a:lumMod val="50000"/>
          </a:schemeClr>
        </a:solidFill>
      </a:ln>
    </cs:spPr>
    <cs:defRPr sz="900" kern="1200"/>
  </cs:categoryAxis>
  <cs:chartArea>
    <cs:lnRef idx="0"/>
    <cs:fillRef idx="0"/>
    <cs:effectRef idx="0"/>
    <cs:fontRef idx="minor">
      <a:schemeClr val="dk1"/>
    </cs:fontRef>
    <cs:spPr>
      <a:gradFill rotWithShape="1">
        <a:gsLst>
          <a:gs pos="0">
            <a:schemeClr val="dk1">
              <a:lumMod val="65000"/>
              <a:lumOff val="35000"/>
            </a:schemeClr>
          </a:gs>
          <a:gs pos="100000">
            <a:schemeClr val="dk1">
              <a:lumMod val="85000"/>
              <a:lumOff val="15000"/>
            </a:schemeClr>
          </a:gs>
        </a:gsLst>
        <a:path path="circle">
          <a:fillToRect l="50000" t="50000" r="50000" b="50000"/>
        </a:path>
      </a:gradFill>
    </cs:spPr>
    <cs:defRPr sz="10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9525" cap="rnd">
        <a:solidFill>
          <a:schemeClr val="phClr"/>
        </a:solidFill>
        <a:round/>
      </a:ln>
    </cs:spPr>
  </cs:dataPointLine>
  <cs:dataPointMarker>
    <cs:lnRef idx="0">
      <cs:styleClr val="auto"/>
    </cs:lnRef>
    <cs:fillRef idx="3">
      <cs:styleClr val="auto"/>
    </cs:fillRef>
    <cs:effectRef idx="3"/>
    <cs:fontRef idx="minor">
      <a:schemeClr val="tx1"/>
    </cs:fontRef>
    <cs:spPr>
      <a:ln w="9525" cap="rnd">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spPr>
      <a:ln w="9525">
        <a:solidFill>
          <a:schemeClr val="lt1">
            <a:lumMod val="50000"/>
          </a:schemeClr>
        </a:solidFill>
      </a:ln>
    </cs:spPr>
    <cs:defRPr sz="900" kern="1200"/>
  </cs:seriesAxis>
  <cs:seriesLine>
    <cs:lnRef idx="0"/>
    <cs:fillRef idx="0"/>
    <cs:effectRef idx="0"/>
    <cs:fontRef idx="minor">
      <a:schemeClr val="lt1"/>
    </cs:fontRef>
    <cs:spPr>
      <a:ln w="9525">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75000"/>
      </a:schemeClr>
    </cs:fontRef>
    <cs:spPr>
      <a:ln w="9525">
        <a:solidFill>
          <a:schemeClr val="lt1">
            <a:lumMod val="50000"/>
          </a:schemeClr>
        </a:solidFill>
      </a:ln>
    </cs:spPr>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75C6BBC8-4ED7-473A-9C8E-E261C3305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Words>2436</Words>
  <Pages>12</Pages>
  <Characters>12653</Characters>
  <Application>WPS Office</Application>
  <DocSecurity>0</DocSecurity>
  <Paragraphs>918</Paragraphs>
  <ScaleCrop>false</ScaleCrop>
  <LinksUpToDate>false</LinksUpToDate>
  <CharactersWithSpaces>14280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2021-10-01T18:04:00Z</dcterms:created>
  <dc:creator>Windows User</dc:creator>
  <lastModifiedBy>Infinix X650D</lastModifiedBy>
  <dcterms:modified xsi:type="dcterms:W3CDTF">2021-10-06T05:38:13Z</dcterms:modified>
  <revision>10</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ec3a7e2c32a34c8b8aa32b070bfb4880</vt:lpwstr>
  </property>
</Properties>
</file>